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ind w:right="567" w:rightChars="0"/>
        <w:jc w:val="center"/>
      </w:pPr>
      <w:r>
        <w:t xml:space="preserve">OPIS TECHNICZNY DO PROJEKTU </w:t>
      </w:r>
      <w:r>
        <w:br w:type="textWrapping"/>
      </w:r>
      <w:r>
        <w:t>ARCHITEKTONICZNO – BUDOWLANEGO</w:t>
      </w:r>
    </w:p>
    <w:p>
      <w:pPr>
        <w:pStyle w:val="3"/>
      </w:pPr>
    </w:p>
    <w:p>
      <w:pPr>
        <w:pStyle w:val="3"/>
      </w:pPr>
      <w:r>
        <w:t>1. Rodzaj i kategoria obiektu budowlanego</w:t>
      </w:r>
    </w:p>
    <w:p>
      <w:pPr>
        <w:rPr>
          <w:rFonts w:hint="default"/>
          <w:u w:val="single"/>
          <w:lang w:val="pl-PL" w:eastAsia="ar-SA"/>
        </w:rPr>
      </w:pPr>
      <w:r>
        <w:rPr>
          <w:u w:val="single"/>
          <w:lang w:eastAsia="ar-SA"/>
        </w:rPr>
        <w:t>Rodzaj obiektu budowlanego</w:t>
      </w:r>
      <w:r>
        <w:rPr>
          <w:lang w:eastAsia="ar-SA"/>
        </w:rPr>
        <w:t xml:space="preserve"> – </w:t>
      </w:r>
      <w:r>
        <w:rPr>
          <w:rFonts w:hint="default"/>
          <w:lang w:val="pl-PL" w:eastAsia="ar-SA"/>
        </w:rPr>
        <w:t>dom pomocy społecznej</w:t>
      </w:r>
    </w:p>
    <w:p>
      <w:pPr>
        <w:rPr>
          <w:u w:val="single"/>
          <w:lang w:eastAsia="ar-SA"/>
        </w:rPr>
      </w:pPr>
      <w:r>
        <w:rPr>
          <w:u w:val="single"/>
          <w:lang w:eastAsia="ar-SA"/>
        </w:rPr>
        <w:t>Kategoria obiektu budowlanego</w:t>
      </w:r>
      <w:r>
        <w:rPr>
          <w:lang w:eastAsia="ar-SA"/>
        </w:rPr>
        <w:t xml:space="preserve"> – XI.</w:t>
      </w:r>
      <w:r>
        <w:rPr>
          <w:u w:val="single"/>
          <w:lang w:eastAsia="ar-SA"/>
        </w:rPr>
        <w:t xml:space="preserve"> </w:t>
      </w:r>
    </w:p>
    <w:p>
      <w:pPr>
        <w:pStyle w:val="3"/>
      </w:pPr>
      <w:r>
        <w:rPr>
          <w:rFonts w:eastAsia="Times New Roman" w:cs="Times New Roman"/>
          <w:kern w:val="1"/>
          <w:szCs w:val="20"/>
          <w:lang w:eastAsia="ar-SA"/>
        </w:rPr>
        <w:t>2.</w:t>
      </w:r>
      <w:r>
        <w:t xml:space="preserve"> Zamierzony sposób użytkowania i program użytkowy obiektu  </w:t>
      </w:r>
    </w:p>
    <w:p>
      <w:pPr>
        <w:autoSpaceDE w:val="0"/>
        <w:autoSpaceDN w:val="0"/>
        <w:adjustRightInd w:val="0"/>
        <w:spacing w:after="0" w:line="240" w:lineRule="auto"/>
      </w:pPr>
      <w:r>
        <w:t xml:space="preserve">Sposób użytkowania obiektu bez zmian – </w:t>
      </w:r>
      <w:r>
        <w:rPr>
          <w:rFonts w:hint="default"/>
          <w:lang w:val="pl-PL"/>
        </w:rPr>
        <w:t>dom pomocy społecznej</w:t>
      </w:r>
      <w:r>
        <w:t xml:space="preserve">. Ilość osób pracujących </w:t>
      </w:r>
      <w:r>
        <w:rPr>
          <w:rFonts w:hint="default"/>
          <w:lang w:val="pl-PL"/>
        </w:rPr>
        <w:t xml:space="preserve">   </w:t>
      </w:r>
      <w:r>
        <w:t xml:space="preserve">w obiekcie bez zmian. W ramach niniejszej inwestycji projektuje się </w:t>
      </w:r>
      <w:r>
        <w:rPr>
          <w:rFonts w:hint="default"/>
          <w:lang w:val="pl-PL"/>
        </w:rPr>
        <w:t xml:space="preserve">przebudowę instalacji wentylacji mechanicznej nawiewno - wywiewnej z dogrzewaniem i chłodzeniem powietrza celem poprawy mikroklimatu w pomieszczeniu kuchni oraz pralni. Stan istniejący nie zapewnia optymalnych parametrów klimatu. Wentylacja jest w stanie złym i nie spełnia wymaganych ilości powietrza wentylacyjnego. </w:t>
      </w:r>
      <w:r>
        <w:t>Krotność wymian jest za mała</w:t>
      </w:r>
      <w:r>
        <w:rPr>
          <w:rFonts w:hint="default"/>
          <w:lang w:val="pl-PL"/>
        </w:rPr>
        <w:t>,</w:t>
      </w:r>
      <w:r>
        <w:t xml:space="preserve"> </w:t>
      </w:r>
      <w:r>
        <w:rPr>
          <w:rFonts w:hint="default"/>
          <w:lang w:val="pl-PL"/>
        </w:rPr>
        <w:t>jak również</w:t>
      </w:r>
      <w:r>
        <w:t xml:space="preserve"> temperatura powietrza nie zapewnia optymalnej pracy w pomieszczeniach.</w:t>
      </w:r>
    </w:p>
    <w:p>
      <w:pPr>
        <w:bidi w:val="0"/>
        <w:spacing w:line="240" w:lineRule="auto"/>
      </w:pPr>
      <w:r>
        <w:t>Zakres opracowania obejmuje następujące instalacje wentylacji mechanicznej:</w:t>
      </w:r>
    </w:p>
    <w:p>
      <w:pPr>
        <w:numPr>
          <w:ilvl w:val="0"/>
          <w:numId w:val="3"/>
        </w:numPr>
        <w:bidi w:val="0"/>
        <w:spacing w:line="240" w:lineRule="auto"/>
        <w:ind w:left="420" w:leftChars="0" w:hanging="420" w:firstLineChars="0"/>
      </w:pPr>
      <w:r>
        <w:t>Instalację wentylacji mechanicznej nawiewno-wywiewnej z odzyskiem ciepła dla pomieszczenia kuchnia</w:t>
      </w:r>
    </w:p>
    <w:p>
      <w:pPr>
        <w:numPr>
          <w:ilvl w:val="0"/>
          <w:numId w:val="3"/>
        </w:numPr>
        <w:bidi w:val="0"/>
        <w:spacing w:line="240" w:lineRule="auto"/>
        <w:ind w:left="420" w:leftChars="0" w:hanging="420" w:firstLineChars="0"/>
      </w:pPr>
      <w:r>
        <w:t>Instalację wentylacji mechanicznej grawitacyjnej wspomaganej mechaniczne pomieszczeń pralni.</w:t>
      </w:r>
    </w:p>
    <w:p>
      <w:pPr>
        <w:pStyle w:val="3"/>
      </w:pPr>
      <w:r>
        <w:t>3. Forma i funkcja obiektu</w:t>
      </w:r>
    </w:p>
    <w:p>
      <w:pPr>
        <w:rPr>
          <w:rFonts w:hint="default"/>
          <w:lang w:val="pl-PL"/>
        </w:rPr>
      </w:pPr>
      <w:r>
        <w:rPr>
          <w:b/>
        </w:rPr>
        <w:t>Forma architektoniczna</w:t>
      </w:r>
      <w:r>
        <w:t xml:space="preserve">: </w:t>
      </w:r>
      <w:r>
        <w:rPr>
          <w:rFonts w:hint="default"/>
          <w:lang w:val="pl-PL"/>
        </w:rPr>
        <w:t>bez zmian</w:t>
      </w:r>
    </w:p>
    <w:p>
      <w:pPr>
        <w:rPr>
          <w:rFonts w:hint="default"/>
          <w:lang w:val="pl-PL"/>
        </w:rPr>
      </w:pPr>
      <w:r>
        <w:rPr>
          <w:b/>
        </w:rPr>
        <w:t>Dostosowanie do istniejącego krajobrazu:</w:t>
      </w:r>
      <w:r>
        <w:t xml:space="preserve"> b</w:t>
      </w:r>
      <w:r>
        <w:rPr>
          <w:rFonts w:hint="default"/>
          <w:lang w:val="pl-PL"/>
        </w:rPr>
        <w:t>ez zmian</w:t>
      </w:r>
    </w:p>
    <w:p>
      <w:pPr>
        <w:rPr>
          <w:rFonts w:hint="default"/>
          <w:lang w:val="pl-PL"/>
        </w:rPr>
      </w:pPr>
      <w:r>
        <w:t xml:space="preserve">W układzie wentylacyjnym </w:t>
      </w:r>
      <w:r>
        <w:rPr>
          <w:lang w:val="pl-PL"/>
        </w:rPr>
        <w:t>wykorzystano</w:t>
      </w:r>
      <w:r>
        <w:t xml:space="preserve"> istniejące czerpnie w elewacji oraz istniejącą wyrzutni</w:t>
      </w:r>
      <w:r>
        <w:rPr>
          <w:lang w:val="pl-PL"/>
        </w:rPr>
        <w:t>ę</w:t>
      </w:r>
      <w:r>
        <w:t xml:space="preserve"> terenową</w:t>
      </w:r>
      <w:r>
        <w:rPr>
          <w:rFonts w:hint="default"/>
          <w:lang w:val="pl-PL"/>
        </w:rPr>
        <w:t xml:space="preserve">, pozostałe prace zlokalizowane są wewnątrz budynku, nie prowadzi się żadnych robót budowlanych mających wpływ na formę architektoniczną budynku i jego dostosowanie do istniejącego krajobrazu. </w:t>
      </w:r>
    </w:p>
    <w:p>
      <w:pPr>
        <w:rPr>
          <w:rFonts w:hint="default"/>
          <w:lang w:val="pl-PL"/>
        </w:rPr>
      </w:pPr>
      <w:r>
        <w:rPr>
          <w:b/>
        </w:rPr>
        <w:t>Funkcja obiektu budowlanego:</w:t>
      </w:r>
      <w:r>
        <w:rPr>
          <w:rFonts w:hint="default"/>
          <w:lang w:val="pl-PL"/>
        </w:rPr>
        <w:t xml:space="preserve"> bez zmian, dom pomocy społecznej</w:t>
      </w:r>
    </w:p>
    <w:p>
      <w:pPr>
        <w:pStyle w:val="8"/>
        <w:spacing w:line="360" w:lineRule="auto"/>
        <w:rPr>
          <w:rFonts w:eastAsiaTheme="majorEastAsia" w:cstheme="majorBidi"/>
          <w:b/>
          <w:bCs/>
          <w:szCs w:val="26"/>
        </w:rPr>
      </w:pPr>
      <w:r>
        <w:rPr>
          <w:rStyle w:val="23"/>
        </w:rPr>
        <w:t>4. Charakterystyczne parametry obiektu</w:t>
      </w:r>
    </w:p>
    <w:p>
      <w:pPr>
        <w:bidi w:val="0"/>
        <w:rPr>
          <w:rFonts w:hint="default"/>
          <w:lang w:val="pl-PL"/>
        </w:rPr>
      </w:pPr>
      <w:r>
        <w:rPr>
          <w:rFonts w:hint="default"/>
          <w:lang w:val="pl-PL"/>
        </w:rPr>
        <w:t>Bez zmian. Nie prowadzi się żadnych robót budowlanych mających wpływ na charakterystyczne parametry obiektu.</w:t>
      </w:r>
    </w:p>
    <w:p>
      <w:pPr>
        <w:pStyle w:val="3"/>
      </w:pPr>
      <w:r>
        <w:t>5. Opinia geotechniczna oraz informacje o sposobie posadowienia obiektu budowlanego</w:t>
      </w:r>
    </w:p>
    <w:p>
      <w:r>
        <w:rPr>
          <w:rFonts w:hint="default"/>
          <w:lang w:val="pl-PL"/>
        </w:rPr>
        <w:t>Nie dotyczy. W ramach inwestycji nie prowadzi się żadnych ziemnych.</w:t>
      </w:r>
      <w:r>
        <w:t xml:space="preserve"> </w:t>
      </w:r>
    </w:p>
    <w:p>
      <w:pPr>
        <w:pStyle w:val="3"/>
      </w:pPr>
      <w:r>
        <w:t>6. Informacja o liczbie lokali i mieszkań użytkowych</w:t>
      </w:r>
    </w:p>
    <w:p>
      <w:pPr>
        <w:rPr>
          <w:rFonts w:hint="default"/>
          <w:lang w:val="pl-PL"/>
        </w:rPr>
      </w:pPr>
      <w:r>
        <w:rPr>
          <w:rFonts w:hint="default"/>
          <w:lang w:val="pl-PL"/>
        </w:rPr>
        <w:t xml:space="preserve">Nie dotyczy. Przedmiotowa inwestycja nie wpływa na zmianę liczby lokali mieszkalnych       i użytkowych. </w:t>
      </w:r>
    </w:p>
    <w:p>
      <w:pPr>
        <w:pStyle w:val="3"/>
      </w:pPr>
      <w:r>
        <w:t>7. Informacja o liczbie lokali mieszkalnych dostępnych dla osób niepełnosprawnych</w:t>
      </w:r>
    </w:p>
    <w:p>
      <w:r>
        <w:t>Nie dotyczy.</w:t>
      </w:r>
      <w:r>
        <w:rPr>
          <w:rFonts w:hint="default"/>
          <w:lang w:val="pl-PL"/>
        </w:rPr>
        <w:t xml:space="preserve"> Przedmiotowa inwestycja nie wpływa na zmianę liczby lokali mieszkalnych       i użytkowych. </w:t>
      </w:r>
    </w:p>
    <w:p>
      <w:pPr>
        <w:pStyle w:val="3"/>
      </w:pPr>
      <w:r>
        <w:t>8. Sposób zapewnienia niezbędnych warunków do korzystania z obiektu  przez osoby niepełnosprawne</w:t>
      </w:r>
    </w:p>
    <w:p>
      <w:pPr>
        <w:rPr>
          <w:rFonts w:hint="default"/>
          <w:lang w:val="pl-PL"/>
        </w:rPr>
      </w:pPr>
      <w:r>
        <w:t>Obiekt jest dostosowany do korzystania przez osoby niepełnosprawne poruszające się na wózkach inwalidzkich</w:t>
      </w:r>
      <w:r>
        <w:rPr>
          <w:rFonts w:hint="default"/>
          <w:lang w:val="pl-PL"/>
        </w:rPr>
        <w:t xml:space="preserve"> oraz do transportu osób na łóżkach</w:t>
      </w:r>
      <w:r>
        <w:t xml:space="preserve">. </w:t>
      </w:r>
      <w:r>
        <w:rPr>
          <w:rFonts w:hint="default"/>
          <w:lang w:val="pl-PL"/>
        </w:rPr>
        <w:t xml:space="preserve">Przedmiotowa inwestycja nie zmienia dotychczasowych warunków do korzystania z obiektu przez osoby niepełnosprawne. </w:t>
      </w:r>
    </w:p>
    <w:p>
      <w:pPr>
        <w:pStyle w:val="3"/>
        <w:rPr>
          <w:szCs w:val="28"/>
        </w:rPr>
      </w:pPr>
      <w:r>
        <w:rPr>
          <w:rStyle w:val="29"/>
          <w:rFonts w:eastAsiaTheme="majorEastAsia" w:cstheme="majorBidi"/>
          <w:b/>
          <w:bCs/>
          <w:kern w:val="0"/>
          <w:lang w:eastAsia="en-US"/>
        </w:rPr>
        <w:t>9. Parametry techniczne obiektu budowlanego charakteryzujące wpływ obiektu budowlanego na środowisko i jego wykorzystywanie oraz na zdrowie ludzi i obiekty sąsiednie</w:t>
      </w:r>
      <w:r>
        <w:rPr>
          <w:szCs w:val="28"/>
        </w:rPr>
        <w:t xml:space="preserve"> </w:t>
      </w:r>
    </w:p>
    <w:p>
      <w:pPr>
        <w:rPr>
          <w:color w:val="auto"/>
        </w:rPr>
      </w:pPr>
      <w:r>
        <w:rPr>
          <w:color w:val="auto"/>
        </w:rPr>
        <w:t>a) zapotrzebowanie i jakość wody oraz ilość, jakość i sposób odprowadzania ścieków i wód opadowych</w:t>
      </w:r>
    </w:p>
    <w:p>
      <w:pPr>
        <w:rPr>
          <w:color w:val="auto"/>
          <w:u w:val="single"/>
        </w:rPr>
      </w:pPr>
      <w:r>
        <w:rPr>
          <w:color w:val="auto"/>
          <w:u w:val="single"/>
        </w:rPr>
        <w:t>bez zmian</w:t>
      </w:r>
    </w:p>
    <w:p>
      <w:pPr>
        <w:rPr>
          <w:color w:val="auto"/>
        </w:rPr>
      </w:pPr>
      <w:r>
        <w:rPr>
          <w:color w:val="auto"/>
        </w:rPr>
        <w:t>b) emisja zanieczyszczeń gazowych</w:t>
      </w:r>
    </w:p>
    <w:p>
      <w:pPr>
        <w:rPr>
          <w:color w:val="auto"/>
          <w:u w:val="single"/>
        </w:rPr>
      </w:pPr>
      <w:r>
        <w:rPr>
          <w:color w:val="auto"/>
          <w:u w:val="single"/>
        </w:rPr>
        <w:t xml:space="preserve">bez zmian </w:t>
      </w:r>
    </w:p>
    <w:p>
      <w:pPr>
        <w:rPr>
          <w:color w:val="auto"/>
        </w:rPr>
      </w:pPr>
      <w:r>
        <w:rPr>
          <w:color w:val="auto"/>
        </w:rPr>
        <w:t>c) rodzaj i ilość wytwarzanych odpadów</w:t>
      </w:r>
    </w:p>
    <w:p>
      <w:pPr>
        <w:rPr>
          <w:color w:val="auto"/>
          <w:u w:val="single"/>
        </w:rPr>
      </w:pPr>
      <w:r>
        <w:rPr>
          <w:color w:val="auto"/>
          <w:u w:val="single"/>
        </w:rPr>
        <w:t>odpady komunalne – ilość odpadów bez zmian</w:t>
      </w:r>
    </w:p>
    <w:p>
      <w:pPr>
        <w:rPr>
          <w:color w:val="auto"/>
        </w:rPr>
      </w:pPr>
      <w:r>
        <w:rPr>
          <w:color w:val="auto"/>
          <w:lang w:eastAsia="pl-PL"/>
        </w:rPr>
        <w:t xml:space="preserve">d) </w:t>
      </w:r>
      <w:r>
        <w:rPr>
          <w:color w:val="auto"/>
        </w:rPr>
        <w:t>właściwości akustyczne oraz emisja drgań, a także promieniowania</w:t>
      </w:r>
    </w:p>
    <w:p>
      <w:pPr>
        <w:rPr>
          <w:color w:val="auto"/>
          <w:u w:val="single"/>
        </w:rPr>
      </w:pPr>
      <w:r>
        <w:rPr>
          <w:color w:val="auto"/>
          <w:u w:val="single"/>
        </w:rPr>
        <w:t xml:space="preserve">inwestycja nie wpłynie na zwiększenie emisji hałasu, nie wystąpi również zjawisko wibracji </w:t>
      </w:r>
    </w:p>
    <w:p>
      <w:pPr>
        <w:jc w:val="left"/>
        <w:rPr>
          <w:color w:val="auto"/>
        </w:rPr>
      </w:pPr>
      <w:r>
        <w:rPr>
          <w:color w:val="auto"/>
        </w:rPr>
        <w:t>e)  wpływ na istniejący drzewostan, glebę, wody powierzchniowe i podziemne</w:t>
      </w:r>
    </w:p>
    <w:p>
      <w:pPr>
        <w:rPr>
          <w:color w:val="auto"/>
          <w:szCs w:val="24"/>
          <w:u w:val="single"/>
        </w:rPr>
      </w:pPr>
      <w:r>
        <w:rPr>
          <w:color w:val="auto"/>
          <w:szCs w:val="24"/>
          <w:u w:val="single"/>
        </w:rPr>
        <w:t xml:space="preserve">inwestycja nie wpływa negatywnie na istniejący drzewostan, wody powierzchniowe </w:t>
      </w:r>
      <w:r>
        <w:rPr>
          <w:color w:val="auto"/>
          <w:szCs w:val="24"/>
          <w:u w:val="single"/>
        </w:rPr>
        <w:br w:type="textWrapping"/>
      </w:r>
      <w:r>
        <w:rPr>
          <w:color w:val="auto"/>
          <w:szCs w:val="24"/>
          <w:u w:val="single"/>
        </w:rPr>
        <w:t>i podziemne</w:t>
      </w:r>
    </w:p>
    <w:p>
      <w:pPr>
        <w:pStyle w:val="3"/>
        <w:rPr>
          <w:szCs w:val="28"/>
        </w:rPr>
      </w:pPr>
      <w:r>
        <w:rPr>
          <w:rStyle w:val="29"/>
          <w:rFonts w:eastAsiaTheme="majorEastAsia" w:cstheme="majorBidi"/>
          <w:b/>
          <w:bCs/>
          <w:kern w:val="0"/>
          <w:lang w:eastAsia="en-US"/>
        </w:rPr>
        <w:t>10.</w:t>
      </w:r>
      <w:r>
        <w:t xml:space="preserve"> Analiza technicznych, środowiskowych i ekonomicznych możliwości realizacji wysoce wydajnych systemów alternatywnych zaopatrzenia w energię i ciepło</w:t>
      </w:r>
    </w:p>
    <w:p>
      <w:pPr>
        <w:rPr>
          <w:rFonts w:hint="default"/>
          <w:lang w:val="pl-PL"/>
        </w:rPr>
      </w:pPr>
      <w:r>
        <w:rPr>
          <w:rFonts w:hint="default"/>
          <w:lang w:val="pl-PL"/>
        </w:rPr>
        <w:t>Nie dotyczy.</w:t>
      </w:r>
    </w:p>
    <w:p>
      <w:pPr>
        <w:rPr>
          <w:rFonts w:hint="default"/>
          <w:lang w:val="pl-PL"/>
        </w:rPr>
      </w:pPr>
    </w:p>
    <w:p>
      <w:pPr>
        <w:rPr>
          <w:rStyle w:val="29"/>
          <w:rFonts w:eastAsiaTheme="majorEastAsia" w:cstheme="majorBidi"/>
          <w:kern w:val="0"/>
          <w:lang w:eastAsia="en-US"/>
        </w:rPr>
      </w:pPr>
      <w:r>
        <w:rPr>
          <w:rStyle w:val="29"/>
          <w:rFonts w:eastAsiaTheme="majorEastAsia" w:cstheme="majorBidi"/>
          <w:kern w:val="0"/>
          <w:lang w:eastAsia="en-US"/>
        </w:rPr>
        <w:t>11. Analiza technicznych i ekonomicznych możliwości wykorzystania urządzeń, które automatycznie regulują temperaturę oddzielnie w poszczególnych pomieszczeniach lub w wyznaczonej strefie ogrzewanej</w:t>
      </w:r>
    </w:p>
    <w:p>
      <w:pPr>
        <w:pStyle w:val="3"/>
        <w:rPr>
          <w:rStyle w:val="29"/>
          <w:rFonts w:hint="default" w:cstheme="majorBidi"/>
          <w:b w:val="0"/>
          <w:bCs/>
          <w:kern w:val="0"/>
          <w:lang w:val="pl-PL" w:eastAsia="en-US"/>
        </w:rPr>
      </w:pPr>
      <w:r>
        <w:rPr>
          <w:rStyle w:val="29"/>
          <w:rFonts w:hint="default" w:cstheme="majorBidi"/>
          <w:b w:val="0"/>
          <w:bCs/>
          <w:kern w:val="0"/>
          <w:lang w:val="pl-PL" w:eastAsia="en-US"/>
        </w:rPr>
        <w:t>Nie dotyczy.</w:t>
      </w:r>
    </w:p>
    <w:p>
      <w:pPr>
        <w:rPr>
          <w:rFonts w:hint="default"/>
          <w:lang w:val="pl-PL" w:eastAsia="en-US"/>
        </w:rPr>
      </w:pPr>
    </w:p>
    <w:p>
      <w:pPr>
        <w:numPr>
          <w:ilvl w:val="0"/>
          <w:numId w:val="4"/>
        </w:numPr>
        <w:rPr>
          <w:rStyle w:val="29"/>
          <w:rFonts w:eastAsiaTheme="majorEastAsia" w:cstheme="majorBidi"/>
          <w:b/>
          <w:bCs/>
          <w:kern w:val="0"/>
          <w:lang w:eastAsia="en-US"/>
        </w:rPr>
      </w:pPr>
      <w:r>
        <w:rPr>
          <w:rStyle w:val="29"/>
          <w:rFonts w:eastAsiaTheme="majorEastAsia" w:cstheme="majorBidi"/>
          <w:b/>
          <w:bCs/>
          <w:kern w:val="0"/>
          <w:lang w:eastAsia="en-US"/>
        </w:rPr>
        <w:t>Rozwiązania zasadniczych elementów wyposażenia budowlano – instalacyjnego, zapewniające użytkowanie obiektu budowlanego zgodnie z przeznaczeniem</w:t>
      </w:r>
    </w:p>
    <w:p>
      <w:pPr>
        <w:numPr>
          <w:ilvl w:val="0"/>
          <w:numId w:val="0"/>
        </w:numPr>
        <w:spacing w:after="200" w:line="276" w:lineRule="auto"/>
        <w:jc w:val="both"/>
        <w:rPr>
          <w:rFonts w:ascii="Arial Narrow" w:hAnsi="Arial Narrow"/>
          <w:color w:val="0000FF"/>
          <w:sz w:val="20"/>
        </w:rPr>
      </w:pPr>
      <w:r>
        <w:rPr>
          <w:rFonts w:hint="default"/>
          <w:color w:val="auto"/>
          <w:lang w:val="pl-PL"/>
        </w:rPr>
        <w:t>Instalacja wentylacji mechanicznej zgodnie z poniższym opisem:</w:t>
      </w:r>
    </w:p>
    <w:p>
      <w:pPr>
        <w:numPr>
          <w:ilvl w:val="0"/>
          <w:numId w:val="5"/>
        </w:numPr>
        <w:bidi w:val="0"/>
        <w:ind w:left="420" w:leftChars="0" w:hanging="420" w:firstLineChars="0"/>
        <w:rPr>
          <w:b/>
          <w:bCs/>
        </w:rPr>
      </w:pPr>
      <w:bookmarkStart w:id="0" w:name="_Toc161248854"/>
      <w:bookmarkStart w:id="1" w:name="_Toc271140448"/>
      <w:bookmarkStart w:id="2" w:name="_Toc62979408"/>
      <w:bookmarkStart w:id="3" w:name="_Toc510935693"/>
      <w:bookmarkStart w:id="4" w:name="_Toc514310976"/>
      <w:bookmarkStart w:id="5" w:name="_Toc533233361"/>
      <w:r>
        <w:rPr>
          <w:rFonts w:hint="default"/>
          <w:b/>
          <w:bCs/>
          <w:lang w:val="pl-PL"/>
        </w:rPr>
        <w:t>z</w:t>
      </w:r>
      <w:r>
        <w:rPr>
          <w:b/>
          <w:bCs/>
        </w:rPr>
        <w:t>ałożenia do bilansu cieplnego i powietrznego obiektu</w:t>
      </w:r>
      <w:bookmarkEnd w:id="0"/>
      <w:bookmarkEnd w:id="1"/>
    </w:p>
    <w:p>
      <w:pPr>
        <w:bidi w:val="0"/>
        <w:spacing w:line="240" w:lineRule="auto"/>
      </w:pPr>
      <w:r>
        <w:t>Projektowany obiekt znajduje się w strefie  klimatycznej zimowej -  III i w</w:t>
      </w:r>
      <w:r>
        <w:rPr>
          <w:rFonts w:hint="default"/>
          <w:lang w:val="pl-PL"/>
        </w:rPr>
        <w:t xml:space="preserve"> </w:t>
      </w:r>
      <w:r>
        <w:t>strefie klimatycznej letniej -  II</w:t>
      </w:r>
    </w:p>
    <w:p>
      <w:pPr>
        <w:bidi w:val="0"/>
        <w:spacing w:line="240" w:lineRule="auto"/>
      </w:pPr>
      <w:r>
        <w:t>Parametry obliczeniowe dla obliczeń zapotrzebowania energii cieplnej dla układów wentylacyjnych w okresach zimowym i letnim przyjęto zgodnie z tablicą 1.</w:t>
      </w:r>
    </w:p>
    <w:p>
      <w:pPr>
        <w:bidi w:val="0"/>
        <w:spacing w:line="240" w:lineRule="auto"/>
      </w:pPr>
    </w:p>
    <w:p>
      <w:pPr>
        <w:bidi w:val="0"/>
        <w:spacing w:line="240" w:lineRule="auto"/>
      </w:pPr>
      <w:r>
        <w:t>Tab.1. Parametry powietrza zewnętrznego dla lata i zimy wg PN -76/B-03420</w:t>
      </w:r>
    </w:p>
    <w:tbl>
      <w:tblPr>
        <w:tblStyle w:val="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884"/>
        <w:gridCol w:w="1552"/>
        <w:gridCol w:w="1083"/>
        <w:gridCol w:w="1016"/>
        <w:gridCol w:w="1899"/>
        <w:gridCol w:w="185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noWrap w:val="0"/>
            <w:vAlign w:val="top"/>
          </w:tcPr>
          <w:p>
            <w:pPr>
              <w:bidi w:val="0"/>
            </w:pPr>
            <w:r>
              <w:t>Pora roku</w:t>
            </w:r>
          </w:p>
        </w:tc>
        <w:tc>
          <w:tcPr>
            <w:tcW w:w="1562" w:type="dxa"/>
            <w:tcBorders>
              <w:top w:val="single" w:color="auto" w:sz="4" w:space="0"/>
              <w:left w:val="single" w:color="auto" w:sz="4" w:space="0"/>
              <w:bottom w:val="single" w:color="auto" w:sz="4" w:space="0"/>
              <w:right w:val="single" w:color="auto" w:sz="4" w:space="0"/>
            </w:tcBorders>
            <w:noWrap w:val="0"/>
            <w:vAlign w:val="top"/>
          </w:tcPr>
          <w:p>
            <w:pPr>
              <w:bidi w:val="0"/>
            </w:pPr>
            <w:r>
              <w:t>Temperatura [ºC]</w:t>
            </w:r>
          </w:p>
        </w:tc>
        <w:tc>
          <w:tcPr>
            <w:tcW w:w="870" w:type="dxa"/>
            <w:tcBorders>
              <w:top w:val="single" w:color="auto" w:sz="4" w:space="0"/>
              <w:left w:val="single" w:color="auto" w:sz="4" w:space="0"/>
              <w:bottom w:val="single" w:color="auto" w:sz="4" w:space="0"/>
              <w:right w:val="single" w:color="auto" w:sz="4" w:space="0"/>
            </w:tcBorders>
            <w:noWrap w:val="0"/>
            <w:vAlign w:val="top"/>
          </w:tcPr>
          <w:p>
            <w:pPr>
              <w:bidi w:val="0"/>
            </w:pPr>
            <w:r>
              <w:t>Entalpia [kcal/kg]</w:t>
            </w:r>
          </w:p>
        </w:tc>
        <w:tc>
          <w:tcPr>
            <w:tcW w:w="996" w:type="dxa"/>
            <w:tcBorders>
              <w:top w:val="single" w:color="auto" w:sz="4" w:space="0"/>
              <w:left w:val="single" w:color="auto" w:sz="4" w:space="0"/>
              <w:bottom w:val="single" w:color="auto" w:sz="4" w:space="0"/>
              <w:right w:val="single" w:color="auto" w:sz="4" w:space="0"/>
            </w:tcBorders>
            <w:noWrap w:val="0"/>
            <w:vAlign w:val="top"/>
          </w:tcPr>
          <w:p>
            <w:pPr>
              <w:bidi w:val="0"/>
            </w:pPr>
            <w:r>
              <w:t>Entalpia [kJ/kg]</w:t>
            </w:r>
          </w:p>
        </w:tc>
        <w:tc>
          <w:tcPr>
            <w:tcW w:w="1952" w:type="dxa"/>
            <w:tcBorders>
              <w:top w:val="single" w:color="auto" w:sz="4" w:space="0"/>
              <w:left w:val="single" w:color="auto" w:sz="4" w:space="0"/>
              <w:bottom w:val="single" w:color="auto" w:sz="4" w:space="0"/>
              <w:right w:val="single" w:color="auto" w:sz="4" w:space="0"/>
            </w:tcBorders>
            <w:noWrap w:val="0"/>
            <w:vAlign w:val="top"/>
          </w:tcPr>
          <w:p>
            <w:pPr>
              <w:bidi w:val="0"/>
            </w:pPr>
            <w:r>
              <w:t>Wilgotność względna</w:t>
            </w:r>
          </w:p>
          <w:p>
            <w:pPr>
              <w:bidi w:val="0"/>
            </w:pPr>
            <w:r>
              <w:t>Φ[%]</w:t>
            </w:r>
          </w:p>
        </w:tc>
        <w:tc>
          <w:tcPr>
            <w:tcW w:w="1913" w:type="dxa"/>
            <w:tcBorders>
              <w:top w:val="single" w:color="auto" w:sz="4" w:space="0"/>
              <w:left w:val="single" w:color="auto" w:sz="4" w:space="0"/>
              <w:bottom w:val="single" w:color="auto" w:sz="4" w:space="0"/>
              <w:right w:val="single" w:color="auto" w:sz="4" w:space="0"/>
            </w:tcBorders>
            <w:noWrap w:val="0"/>
            <w:vAlign w:val="top"/>
          </w:tcPr>
          <w:p>
            <w:pPr>
              <w:bidi w:val="0"/>
            </w:pPr>
            <w:r>
              <w:t>Zawartość wilgoci x[g/kg]</w:t>
            </w:r>
          </w:p>
          <w:p>
            <w:pPr>
              <w:bidi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noWrap w:val="0"/>
            <w:vAlign w:val="top"/>
          </w:tcPr>
          <w:p>
            <w:pPr>
              <w:bidi w:val="0"/>
            </w:pPr>
            <w:r>
              <w:t>lato</w:t>
            </w:r>
          </w:p>
        </w:tc>
        <w:tc>
          <w:tcPr>
            <w:tcW w:w="1562" w:type="dxa"/>
            <w:tcBorders>
              <w:top w:val="single" w:color="auto" w:sz="4" w:space="0"/>
              <w:left w:val="single" w:color="auto" w:sz="4" w:space="0"/>
              <w:bottom w:val="single" w:color="auto" w:sz="4" w:space="0"/>
              <w:right w:val="single" w:color="auto" w:sz="4" w:space="0"/>
            </w:tcBorders>
            <w:noWrap w:val="0"/>
            <w:vAlign w:val="top"/>
          </w:tcPr>
          <w:p>
            <w:pPr>
              <w:bidi w:val="0"/>
            </w:pPr>
            <w:r>
              <w:t xml:space="preserve"> Lato 22-24 </w:t>
            </w:r>
          </w:p>
        </w:tc>
        <w:tc>
          <w:tcPr>
            <w:tcW w:w="870" w:type="dxa"/>
            <w:tcBorders>
              <w:top w:val="single" w:color="auto" w:sz="4" w:space="0"/>
              <w:left w:val="single" w:color="auto" w:sz="4" w:space="0"/>
              <w:bottom w:val="single" w:color="auto" w:sz="4" w:space="0"/>
              <w:right w:val="single" w:color="auto" w:sz="4" w:space="0"/>
            </w:tcBorders>
            <w:noWrap w:val="0"/>
            <w:vAlign w:val="top"/>
          </w:tcPr>
          <w:p>
            <w:pPr>
              <w:bidi w:val="0"/>
            </w:pPr>
            <w:r>
              <w:t>14.5</w:t>
            </w:r>
          </w:p>
        </w:tc>
        <w:tc>
          <w:tcPr>
            <w:tcW w:w="996" w:type="dxa"/>
            <w:tcBorders>
              <w:top w:val="single" w:color="auto" w:sz="4" w:space="0"/>
              <w:left w:val="single" w:color="auto" w:sz="4" w:space="0"/>
              <w:bottom w:val="single" w:color="auto" w:sz="4" w:space="0"/>
              <w:right w:val="single" w:color="auto" w:sz="4" w:space="0"/>
            </w:tcBorders>
            <w:noWrap w:val="0"/>
            <w:vAlign w:val="top"/>
          </w:tcPr>
          <w:p>
            <w:pPr>
              <w:bidi w:val="0"/>
            </w:pPr>
            <w:r>
              <w:t>63</w:t>
            </w:r>
          </w:p>
        </w:tc>
        <w:tc>
          <w:tcPr>
            <w:tcW w:w="1952" w:type="dxa"/>
            <w:tcBorders>
              <w:top w:val="single" w:color="auto" w:sz="4" w:space="0"/>
              <w:left w:val="single" w:color="auto" w:sz="4" w:space="0"/>
              <w:bottom w:val="single" w:color="auto" w:sz="4" w:space="0"/>
              <w:right w:val="single" w:color="auto" w:sz="4" w:space="0"/>
            </w:tcBorders>
            <w:noWrap w:val="0"/>
            <w:vAlign w:val="top"/>
          </w:tcPr>
          <w:p>
            <w:pPr>
              <w:bidi w:val="0"/>
            </w:pPr>
            <w:r>
              <w:t>45</w:t>
            </w:r>
          </w:p>
        </w:tc>
        <w:tc>
          <w:tcPr>
            <w:tcW w:w="1913" w:type="dxa"/>
            <w:tcBorders>
              <w:top w:val="single" w:color="auto" w:sz="4" w:space="0"/>
              <w:left w:val="single" w:color="auto" w:sz="4" w:space="0"/>
              <w:bottom w:val="single" w:color="auto" w:sz="4" w:space="0"/>
              <w:right w:val="single" w:color="auto" w:sz="4" w:space="0"/>
            </w:tcBorders>
            <w:noWrap w:val="0"/>
            <w:vAlign w:val="top"/>
          </w:tcPr>
          <w:p>
            <w:pPr>
              <w:bidi w:val="0"/>
            </w:pPr>
            <w:r>
              <w:t>11.9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95" w:type="dxa"/>
            <w:tcBorders>
              <w:top w:val="single" w:color="auto" w:sz="4" w:space="0"/>
              <w:left w:val="single" w:color="auto" w:sz="4" w:space="0"/>
              <w:bottom w:val="single" w:color="auto" w:sz="4" w:space="0"/>
              <w:right w:val="single" w:color="auto" w:sz="4" w:space="0"/>
            </w:tcBorders>
            <w:noWrap w:val="0"/>
            <w:vAlign w:val="top"/>
          </w:tcPr>
          <w:p>
            <w:pPr>
              <w:bidi w:val="0"/>
            </w:pPr>
            <w:r>
              <w:t>zima</w:t>
            </w:r>
          </w:p>
        </w:tc>
        <w:tc>
          <w:tcPr>
            <w:tcW w:w="1562" w:type="dxa"/>
            <w:tcBorders>
              <w:top w:val="single" w:color="auto" w:sz="4" w:space="0"/>
              <w:left w:val="single" w:color="auto" w:sz="4" w:space="0"/>
              <w:bottom w:val="single" w:color="auto" w:sz="4" w:space="0"/>
              <w:right w:val="single" w:color="auto" w:sz="4" w:space="0"/>
            </w:tcBorders>
            <w:noWrap w:val="0"/>
            <w:vAlign w:val="top"/>
          </w:tcPr>
          <w:p>
            <w:pPr>
              <w:bidi w:val="0"/>
            </w:pPr>
            <w:r>
              <w:t>Zima 20-16</w:t>
            </w:r>
          </w:p>
        </w:tc>
        <w:tc>
          <w:tcPr>
            <w:tcW w:w="870" w:type="dxa"/>
            <w:tcBorders>
              <w:top w:val="single" w:color="auto" w:sz="4" w:space="0"/>
              <w:left w:val="single" w:color="auto" w:sz="4" w:space="0"/>
              <w:bottom w:val="single" w:color="auto" w:sz="4" w:space="0"/>
              <w:right w:val="single" w:color="auto" w:sz="4" w:space="0"/>
            </w:tcBorders>
            <w:noWrap w:val="0"/>
            <w:vAlign w:val="top"/>
          </w:tcPr>
          <w:p>
            <w:pPr>
              <w:bidi w:val="0"/>
            </w:pPr>
            <w:r>
              <w:t>-4.4</w:t>
            </w:r>
          </w:p>
        </w:tc>
        <w:tc>
          <w:tcPr>
            <w:tcW w:w="996" w:type="dxa"/>
            <w:tcBorders>
              <w:top w:val="single" w:color="auto" w:sz="4" w:space="0"/>
              <w:left w:val="single" w:color="auto" w:sz="4" w:space="0"/>
              <w:bottom w:val="single" w:color="auto" w:sz="4" w:space="0"/>
              <w:right w:val="single" w:color="auto" w:sz="4" w:space="0"/>
            </w:tcBorders>
            <w:noWrap w:val="0"/>
            <w:vAlign w:val="top"/>
          </w:tcPr>
          <w:p>
            <w:pPr>
              <w:bidi w:val="0"/>
            </w:pPr>
            <w:r>
              <w:t>-18.9</w:t>
            </w:r>
          </w:p>
        </w:tc>
        <w:tc>
          <w:tcPr>
            <w:tcW w:w="1952" w:type="dxa"/>
            <w:tcBorders>
              <w:top w:val="single" w:color="auto" w:sz="4" w:space="0"/>
              <w:left w:val="single" w:color="auto" w:sz="4" w:space="0"/>
              <w:bottom w:val="single" w:color="auto" w:sz="4" w:space="0"/>
              <w:right w:val="single" w:color="auto" w:sz="4" w:space="0"/>
            </w:tcBorders>
            <w:noWrap w:val="0"/>
            <w:vAlign w:val="top"/>
          </w:tcPr>
          <w:p>
            <w:pPr>
              <w:bidi w:val="0"/>
            </w:pPr>
            <w:r>
              <w:t>100</w:t>
            </w:r>
          </w:p>
        </w:tc>
        <w:tc>
          <w:tcPr>
            <w:tcW w:w="1913" w:type="dxa"/>
            <w:tcBorders>
              <w:top w:val="single" w:color="auto" w:sz="4" w:space="0"/>
              <w:left w:val="single" w:color="auto" w:sz="4" w:space="0"/>
              <w:bottom w:val="single" w:color="auto" w:sz="4" w:space="0"/>
              <w:right w:val="single" w:color="auto" w:sz="4" w:space="0"/>
            </w:tcBorders>
            <w:noWrap w:val="0"/>
            <w:vAlign w:val="top"/>
          </w:tcPr>
          <w:p>
            <w:pPr>
              <w:bidi w:val="0"/>
            </w:pPr>
            <w:r>
              <w:t>0.8</w:t>
            </w:r>
          </w:p>
        </w:tc>
      </w:tr>
      <w:bookmarkEnd w:id="2"/>
      <w:bookmarkEnd w:id="3"/>
      <w:bookmarkEnd w:id="4"/>
      <w:bookmarkEnd w:id="5"/>
    </w:tbl>
    <w:p>
      <w:pPr>
        <w:bidi w:val="0"/>
      </w:pPr>
    </w:p>
    <w:p>
      <w:pPr>
        <w:bidi w:val="0"/>
        <w:spacing w:line="240" w:lineRule="auto"/>
        <w:rPr>
          <w:rFonts w:ascii="Arial Narrow" w:hAnsi="Arial Narrow" w:cs="Arial"/>
          <w:color w:val="0000FF"/>
          <w:sz w:val="20"/>
        </w:rPr>
      </w:pPr>
      <w:r>
        <w:t>Obliczenia ilości powietrza wentylacyjnego dla obiektu  dokonano w oparciu o wymaganą niezbędną ilość krotność wymian powietrza w pomieszczeniu kuchni oraz pralni. Ilości te wynoszą:</w:t>
      </w:r>
    </w:p>
    <w:p>
      <w:pPr>
        <w:bidi w:val="0"/>
        <w:spacing w:line="240" w:lineRule="auto"/>
      </w:pPr>
      <w:r>
        <w:rPr>
          <w:rFonts w:hint="default"/>
          <w:lang w:val="pl-PL"/>
        </w:rPr>
        <w:t>- d</w:t>
      </w:r>
      <w:r>
        <w:t>la pomieszczeń kuchni zaprojektowano 25 wymian powietrza w pomieszczeniu co daje 9000m3/h</w:t>
      </w:r>
    </w:p>
    <w:p>
      <w:pPr>
        <w:bidi w:val="0"/>
        <w:spacing w:line="240" w:lineRule="auto"/>
      </w:pPr>
      <w:r>
        <w:rPr>
          <w:rFonts w:hint="default"/>
          <w:lang w:val="pl-PL"/>
        </w:rPr>
        <w:t>- d</w:t>
      </w:r>
      <w:r>
        <w:t>la pomieszczeń pralni zaprojektowano 10 wymian powietrza w pomieszczeniu co daje 7000m3/h</w:t>
      </w:r>
    </w:p>
    <w:p>
      <w:pPr>
        <w:bidi w:val="0"/>
        <w:spacing w:line="240" w:lineRule="auto"/>
      </w:pPr>
      <w:r>
        <w:t>Wartości te sprawdzono także dla 8 wymian powietrza w pomieszczeniu.</w:t>
      </w:r>
    </w:p>
    <w:p>
      <w:pPr>
        <w:bidi w:val="0"/>
      </w:pPr>
    </w:p>
    <w:p>
      <w:r>
        <w:br w:type="page"/>
      </w:r>
    </w:p>
    <w:p>
      <w:pPr>
        <w:bidi w:val="0"/>
        <w:spacing w:line="240" w:lineRule="auto"/>
      </w:pPr>
      <w:r>
        <w:t>Maksymalny dopuszczalny równoważny poziom dźwięku przenikającego do pomieszczenia od wyposażenia technicznego budynku nie powinien przekraczać wartości wyspecyfikowanych w poniższej tabeli 2 oraz wartości podanych w PN-87/B-02151/02.</w:t>
      </w:r>
    </w:p>
    <w:p>
      <w:pPr>
        <w:adjustRightInd w:val="0"/>
        <w:spacing w:line="240" w:lineRule="auto"/>
        <w:rPr>
          <w:rFonts w:ascii="Arial Narrow" w:hAnsi="Arial Narrow"/>
          <w:color w:val="0000FF"/>
          <w:sz w:val="20"/>
        </w:rPr>
      </w:pPr>
    </w:p>
    <w:p>
      <w:pPr>
        <w:bidi w:val="0"/>
        <w:spacing w:line="240" w:lineRule="auto"/>
      </w:pPr>
      <w:r>
        <w:t>Tab.2. Dopuszczalne wartości poziomu dźwięku w pomieszczeniu.</w:t>
      </w:r>
    </w:p>
    <w:tbl>
      <w:tblPr>
        <w:tblStyle w:val="7"/>
        <w:tblW w:w="0" w:type="auto"/>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2340"/>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43" w:hRule="atLeast"/>
        </w:trPr>
        <w:tc>
          <w:tcPr>
            <w:tcW w:w="2340" w:type="dxa"/>
            <w:noWrap w:val="0"/>
            <w:vAlign w:val="center"/>
          </w:tcPr>
          <w:p>
            <w:pPr>
              <w:bidi w:val="0"/>
              <w:spacing w:line="240" w:lineRule="auto"/>
            </w:pPr>
            <w:r>
              <w:t>Rodzaj pomieszczenia</w:t>
            </w:r>
          </w:p>
        </w:tc>
        <w:tc>
          <w:tcPr>
            <w:tcW w:w="1803" w:type="dxa"/>
            <w:noWrap w:val="0"/>
            <w:vAlign w:val="center"/>
          </w:tcPr>
          <w:p>
            <w:pPr>
              <w:bidi w:val="0"/>
              <w:spacing w:line="240" w:lineRule="auto"/>
            </w:pPr>
            <w:r>
              <w:t>Poziom</w:t>
            </w:r>
          </w:p>
          <w:p>
            <w:pPr>
              <w:bidi w:val="0"/>
              <w:spacing w:line="240" w:lineRule="auto"/>
            </w:pPr>
            <w:r>
              <w:t>dźwięku 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trPr>
        <w:tc>
          <w:tcPr>
            <w:tcW w:w="2340" w:type="dxa"/>
            <w:noWrap w:val="0"/>
            <w:vAlign w:val="center"/>
          </w:tcPr>
          <w:p>
            <w:pPr>
              <w:bidi w:val="0"/>
              <w:spacing w:line="240" w:lineRule="auto"/>
            </w:pPr>
            <w:r>
              <w:t>Kuchni</w:t>
            </w:r>
          </w:p>
        </w:tc>
        <w:tc>
          <w:tcPr>
            <w:tcW w:w="1803" w:type="dxa"/>
            <w:noWrap w:val="0"/>
            <w:vAlign w:val="center"/>
          </w:tcPr>
          <w:p>
            <w:pPr>
              <w:bidi w:val="0"/>
              <w:spacing w:line="240" w:lineRule="auto"/>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20" w:hRule="atLeast"/>
        </w:trPr>
        <w:tc>
          <w:tcPr>
            <w:tcW w:w="2340" w:type="dxa"/>
            <w:noWrap w:val="0"/>
            <w:vAlign w:val="center"/>
          </w:tcPr>
          <w:p>
            <w:pPr>
              <w:bidi w:val="0"/>
              <w:spacing w:line="240" w:lineRule="auto"/>
            </w:pPr>
            <w:r>
              <w:t>Pom. pralni</w:t>
            </w:r>
          </w:p>
        </w:tc>
        <w:tc>
          <w:tcPr>
            <w:tcW w:w="1803" w:type="dxa"/>
            <w:noWrap w:val="0"/>
            <w:vAlign w:val="center"/>
          </w:tcPr>
          <w:p>
            <w:pPr>
              <w:bidi w:val="0"/>
              <w:spacing w:line="240" w:lineRule="auto"/>
            </w:pPr>
            <w:r>
              <w:t>40</w:t>
            </w:r>
          </w:p>
        </w:tc>
      </w:tr>
    </w:tbl>
    <w:p>
      <w:pPr>
        <w:bidi w:val="0"/>
        <w:spacing w:line="240" w:lineRule="auto"/>
      </w:pPr>
    </w:p>
    <w:p>
      <w:pPr>
        <w:bidi w:val="0"/>
        <w:spacing w:line="240" w:lineRule="auto"/>
      </w:pPr>
      <w:r>
        <w:t>Dopuszczalny poziom hałasu emitowanego na zewnątrz wyrażony równoważnym poziomem dźwięku w dB określa Rozporządzenie Ministra Ochrony Środowiska, Zasobów Naturalnych i Leśnictwa z dnia 13 maja 1998r. (Dz. U. Nr 66 poz. 436) i wynosi 55 dB w porze dnia oraz 45 dB w porach nocnych.</w:t>
      </w:r>
    </w:p>
    <w:p>
      <w:pPr>
        <w:rPr>
          <w:rFonts w:ascii="Arial Narrow" w:hAnsi="Arial Narrow"/>
          <w:color w:val="0000FF"/>
          <w:sz w:val="20"/>
        </w:rPr>
      </w:pPr>
    </w:p>
    <w:p>
      <w:pPr>
        <w:numPr>
          <w:ilvl w:val="0"/>
          <w:numId w:val="5"/>
        </w:numPr>
        <w:bidi w:val="0"/>
        <w:rPr>
          <w:b/>
          <w:bCs/>
        </w:rPr>
      </w:pPr>
      <w:bookmarkStart w:id="6" w:name="_Toc271140449"/>
      <w:bookmarkStart w:id="7" w:name="_Toc161248855"/>
      <w:r>
        <w:rPr>
          <w:b/>
          <w:bCs/>
        </w:rPr>
        <w:t>bilans powietrzny pomieszczeń</w:t>
      </w:r>
      <w:bookmarkEnd w:id="6"/>
      <w:bookmarkEnd w:id="7"/>
    </w:p>
    <w:p>
      <w:pPr>
        <w:bidi w:val="0"/>
        <w:spacing w:line="240" w:lineRule="auto"/>
        <w:rPr>
          <w:rFonts w:hint="default"/>
          <w:lang w:val="pl-PL"/>
        </w:rPr>
      </w:pPr>
      <w:r>
        <w:t>W części rysunkowej  projektu</w:t>
      </w:r>
      <w:r>
        <w:rPr>
          <w:rFonts w:hint="default"/>
          <w:lang w:val="pl-PL"/>
        </w:rPr>
        <w:t>.</w:t>
      </w:r>
    </w:p>
    <w:p>
      <w:pPr>
        <w:bidi w:val="0"/>
        <w:spacing w:line="240" w:lineRule="auto"/>
        <w:rPr>
          <w:rFonts w:hint="default"/>
          <w:lang w:val="pl-PL"/>
        </w:rPr>
      </w:pPr>
    </w:p>
    <w:p>
      <w:pPr>
        <w:bidi w:val="0"/>
        <w:spacing w:line="240" w:lineRule="auto"/>
        <w:rPr>
          <w:rFonts w:hint="default"/>
          <w:lang w:val="pl-PL"/>
        </w:rPr>
      </w:pPr>
      <w:r>
        <w:t>ZAŁOŻENIA PROJEKTOWE</w:t>
      </w:r>
      <w:r>
        <w:rPr>
          <w:rFonts w:hint="default"/>
          <w:lang w:val="pl-PL"/>
        </w:rPr>
        <w:t>:</w:t>
      </w:r>
    </w:p>
    <w:p>
      <w:pPr>
        <w:bidi w:val="0"/>
        <w:spacing w:line="240" w:lineRule="auto"/>
      </w:pPr>
      <w:r>
        <w:t>-</w:t>
      </w:r>
      <w:r>
        <w:rPr>
          <w:rFonts w:hint="default"/>
          <w:lang w:val="pl-PL"/>
        </w:rPr>
        <w:t xml:space="preserve"> </w:t>
      </w:r>
      <w:r>
        <w:t>Zakłada  się wentylację mechaniczną nawiewno-wywiewną z odzyskiem ciepła oraz grzaniem i chłodzeniem powietrza wentylacyjnego.</w:t>
      </w:r>
    </w:p>
    <w:p>
      <w:pPr>
        <w:bidi w:val="0"/>
        <w:spacing w:line="240" w:lineRule="auto"/>
      </w:pPr>
      <w:r>
        <w:t>-</w:t>
      </w:r>
      <w:r>
        <w:rPr>
          <w:rFonts w:hint="default"/>
          <w:lang w:val="pl-PL"/>
        </w:rPr>
        <w:t xml:space="preserve">  </w:t>
      </w:r>
      <w:r>
        <w:t>Projektuje się niezależne układy wentylacyjne dla kuchni i pralni</w:t>
      </w:r>
    </w:p>
    <w:p>
      <w:pPr>
        <w:bidi w:val="0"/>
        <w:spacing w:line="240" w:lineRule="auto"/>
      </w:pPr>
      <w:r>
        <w:t xml:space="preserve">- </w:t>
      </w:r>
      <w:r>
        <w:rPr>
          <w:rFonts w:hint="default"/>
          <w:lang w:val="pl-PL"/>
        </w:rPr>
        <w:t xml:space="preserve"> </w:t>
      </w:r>
      <w:r>
        <w:t>Nagrzewnice w centralach będą nagrzewnicami rewersyjnymi na bazie wbudowanej pompy ciepła w opcji grzanie i chłodzenie.</w:t>
      </w:r>
    </w:p>
    <w:p>
      <w:pPr>
        <w:bidi w:val="0"/>
        <w:spacing w:line="240" w:lineRule="auto"/>
      </w:pPr>
      <w:r>
        <w:t>-</w:t>
      </w:r>
      <w:r>
        <w:rPr>
          <w:rFonts w:hint="default"/>
          <w:lang w:val="pl-PL"/>
        </w:rPr>
        <w:t xml:space="preserve"> </w:t>
      </w:r>
      <w:r>
        <w:t xml:space="preserve">Regulację temperatury przewiduję się jako regulację automatyczną. </w:t>
      </w:r>
    </w:p>
    <w:p>
      <w:pPr>
        <w:bidi w:val="0"/>
        <w:spacing w:line="240" w:lineRule="auto"/>
      </w:pPr>
      <w:r>
        <w:t>-</w:t>
      </w:r>
      <w:r>
        <w:rPr>
          <w:rFonts w:hint="default"/>
          <w:lang w:val="pl-PL"/>
        </w:rPr>
        <w:t xml:space="preserve"> </w:t>
      </w:r>
      <w:r>
        <w:t xml:space="preserve">Praca układu wentylacji sterowana jest w sposób ręczny poprzez on/off </w:t>
      </w:r>
      <w:r>
        <w:br w:type="textWrapping"/>
      </w:r>
      <w:r>
        <w:t xml:space="preserve">układu z poziomu skrzynki zasilająco sterującej. </w:t>
      </w:r>
    </w:p>
    <w:p>
      <w:pPr>
        <w:bidi w:val="0"/>
        <w:spacing w:line="240" w:lineRule="auto"/>
      </w:pPr>
    </w:p>
    <w:p>
      <w:pPr>
        <w:bidi w:val="0"/>
        <w:spacing w:line="240" w:lineRule="auto"/>
      </w:pPr>
      <w:r>
        <w:t>Układy wentylacji mechanicznej nawiewno-wywiewnej:</w:t>
      </w:r>
    </w:p>
    <w:p>
      <w:pPr>
        <w:bidi w:val="0"/>
        <w:spacing w:line="240" w:lineRule="auto"/>
      </w:pPr>
      <w:r>
        <w:t>-N1/W1-nawiew, wywiew z pomieszczeń  kuchni</w:t>
      </w:r>
    </w:p>
    <w:p>
      <w:pPr>
        <w:bidi w:val="0"/>
        <w:spacing w:line="240" w:lineRule="auto"/>
      </w:pPr>
      <w:r>
        <w:t>-N2/W2-nawiew, wywiew z pomieszczeń  pralni</w:t>
      </w:r>
    </w:p>
    <w:p>
      <w:pPr>
        <w:rPr>
          <w:rFonts w:ascii="Arial Narrow" w:hAnsi="Arial Narrow"/>
          <w:color w:val="0000FF"/>
          <w:sz w:val="20"/>
        </w:rPr>
      </w:pPr>
    </w:p>
    <w:p>
      <w:pPr>
        <w:rPr>
          <w:rFonts w:ascii="Arial Narrow" w:hAnsi="Arial Narrow"/>
          <w:color w:val="0000FF"/>
          <w:sz w:val="20"/>
        </w:rPr>
      </w:pPr>
    </w:p>
    <w:p>
      <w:pPr>
        <w:numPr>
          <w:ilvl w:val="0"/>
          <w:numId w:val="5"/>
        </w:numPr>
        <w:bidi w:val="0"/>
        <w:ind w:left="420" w:leftChars="0" w:hanging="420" w:firstLineChars="0"/>
        <w:rPr>
          <w:rFonts w:ascii="Arial Narrow" w:hAnsi="Arial Narrow"/>
          <w:color w:val="auto"/>
          <w:sz w:val="20"/>
        </w:rPr>
      </w:pPr>
      <w:bookmarkStart w:id="8" w:name="_Toc161248857"/>
      <w:r>
        <w:rPr>
          <w:b/>
          <w:bCs/>
          <w:color w:val="auto"/>
        </w:rPr>
        <w:t>N1/W1 - Instalacja WENTYLACJI nawiewno-wywiewnej DLA PRALNI</w:t>
      </w:r>
      <w:bookmarkEnd w:id="8"/>
    </w:p>
    <w:p>
      <w:pPr>
        <w:bidi w:val="0"/>
      </w:pPr>
      <w:r>
        <w:t xml:space="preserve">Dla  pomieszczeń pralni  projektuje się indywidualny układ wentylacji mechanicznej nawiewno-wywiewnej z odzyskiem ciepła z grzaniem i chłodzeniem powietrza wentylacyjnego - UKŁAD WENTYLACYJNY N1/W1. </w:t>
      </w:r>
    </w:p>
    <w:p>
      <w:pPr>
        <w:bidi w:val="0"/>
      </w:pPr>
      <w:r>
        <w:t xml:space="preserve">Wentylację zapewniać będzie centrala z wymiennikiem krzyżowym, </w:t>
      </w:r>
      <w:r>
        <w:rPr>
          <w:lang w:val="pl-PL"/>
        </w:rPr>
        <w:t>przeciwprądowym</w:t>
      </w:r>
      <w:r>
        <w:t>, nagrzewnicą elektryczną, rewersyjną pompą ciepła w trybie grzanie i chłodzenie, filtracją F5-nawiew /G5-wywiew. Centrala będzie posiadał trybu chłodzenia.  W zimie, lecie i okresach przejściowych powietrze świeże o temperaturze 22-24 st C zostanie przygotowane w centrali do odpowiedniej temperatury nawiewu (20</w:t>
      </w:r>
      <w:r>
        <w:rPr/>
        <w:sym w:font="Symbol" w:char="F0B0"/>
      </w:r>
      <w:r>
        <w:t>C – zima, te – 21-20</w:t>
      </w:r>
      <w:r>
        <w:rPr/>
        <w:sym w:font="Symbol" w:char="F0B0"/>
      </w:r>
      <w:r>
        <w:t xml:space="preserve">C ). Centralę zlokalizowano w pomieszczeniu piwnicznych wg części graficznej. </w:t>
      </w:r>
    </w:p>
    <w:p>
      <w:pPr>
        <w:bidi w:val="0"/>
      </w:pPr>
      <w:r>
        <w:t>Centrala wentylacyjna w wykonaniu wewnętrznym N1/W1</w:t>
      </w:r>
    </w:p>
    <w:p>
      <w:pPr>
        <w:bidi w:val="0"/>
        <w:rPr>
          <w:u w:val="single"/>
        </w:rPr>
      </w:pPr>
      <w:r>
        <w:rPr>
          <w:u w:val="single"/>
        </w:rPr>
        <w:t>Dane techniczne:</w:t>
      </w:r>
    </w:p>
    <w:p>
      <w:pPr>
        <w:bidi w:val="0"/>
      </w:pPr>
      <w:r>
        <w:t>Centrala wentylacyjna nawiewno-wywiewna  z krzyżowym  odzyskiem ciepła  w wykonaniu wewnętrznym</w:t>
      </w:r>
      <w:r>
        <w:rPr>
          <w:rFonts w:hint="default"/>
          <w:lang w:val="pl-PL"/>
        </w:rPr>
        <w:t xml:space="preserve"> </w:t>
      </w:r>
      <w:r>
        <w:t>z sekcjami:</w:t>
      </w:r>
    </w:p>
    <w:p>
      <w:pPr>
        <w:bidi w:val="0"/>
      </w:pPr>
      <w:r>
        <w:rPr>
          <w:rFonts w:hint="default"/>
          <w:lang w:val="pl-PL"/>
        </w:rPr>
        <w:t xml:space="preserve">- </w:t>
      </w:r>
      <w:r>
        <w:t>wentylatorową,</w:t>
      </w:r>
    </w:p>
    <w:p>
      <w:pPr>
        <w:bidi w:val="0"/>
      </w:pPr>
      <w:r>
        <w:t>- filtracji (filtry kieszeniowe klasy F5/G4)</w:t>
      </w:r>
    </w:p>
    <w:p>
      <w:pPr>
        <w:bidi w:val="0"/>
      </w:pPr>
      <w:r>
        <w:rPr>
          <w:rFonts w:hint="default"/>
          <w:lang w:val="pl-PL"/>
        </w:rPr>
        <w:t>- w</w:t>
      </w:r>
      <w:r>
        <w:t>ymiennikiem krzyżowym</w:t>
      </w:r>
    </w:p>
    <w:p>
      <w:pPr>
        <w:bidi w:val="0"/>
      </w:pPr>
      <w:r>
        <w:t>-</w:t>
      </w:r>
      <w:r>
        <w:rPr>
          <w:rFonts w:hint="default"/>
          <w:lang w:val="pl-PL"/>
        </w:rPr>
        <w:t xml:space="preserve"> </w:t>
      </w:r>
      <w:r>
        <w:t xml:space="preserve">nagrzewnica elektryczna </w:t>
      </w:r>
    </w:p>
    <w:p>
      <w:pPr>
        <w:bidi w:val="0"/>
      </w:pPr>
      <w:r>
        <w:t>-</w:t>
      </w:r>
      <w:r>
        <w:rPr>
          <w:rFonts w:hint="default"/>
          <w:lang w:val="pl-PL"/>
        </w:rPr>
        <w:t xml:space="preserve"> </w:t>
      </w:r>
      <w:r>
        <w:t>wbudowana pompa ciepła</w:t>
      </w:r>
    </w:p>
    <w:p>
      <w:pPr>
        <w:bidi w:val="0"/>
      </w:pPr>
      <w:r>
        <w:t>Wraz z kompletnym systemem sterowania i automatyki:</w:t>
      </w:r>
    </w:p>
    <w:p>
      <w:pPr>
        <w:bidi w:val="0"/>
      </w:pPr>
      <w:r>
        <w:t>Dane techniczne podstawowe:</w:t>
      </w:r>
    </w:p>
    <w:p>
      <w:pPr>
        <w:bidi w:val="0"/>
      </w:pPr>
      <w:r>
        <w:t>Vn.</w:t>
      </w:r>
      <w:r>
        <w:tab/>
      </w:r>
      <w:r>
        <w:tab/>
      </w:r>
      <w:r>
        <w:tab/>
      </w:r>
      <w:r>
        <w:t xml:space="preserve">                 =</w:t>
      </w:r>
      <w:r>
        <w:rPr>
          <w:rFonts w:hint="default"/>
          <w:lang w:val="pl-PL"/>
        </w:rPr>
        <w:t xml:space="preserve"> </w:t>
      </w:r>
      <w:r>
        <w:t>7000m3/h</w:t>
      </w:r>
    </w:p>
    <w:p>
      <w:pPr>
        <w:bidi w:val="0"/>
      </w:pPr>
      <w:r>
        <w:t>Vw</w:t>
      </w:r>
      <w:r>
        <w:tab/>
      </w:r>
      <w:r>
        <w:tab/>
      </w:r>
      <w:r>
        <w:tab/>
      </w:r>
      <w:r>
        <w:t xml:space="preserve">                 =</w:t>
      </w:r>
      <w:r>
        <w:rPr>
          <w:rFonts w:hint="default"/>
          <w:lang w:val="pl-PL"/>
        </w:rPr>
        <w:t xml:space="preserve"> </w:t>
      </w:r>
      <w:r>
        <w:t>4000m3/h</w:t>
      </w:r>
    </w:p>
    <w:p>
      <w:pPr>
        <w:bidi w:val="0"/>
      </w:pPr>
      <w:r>
        <w:rPr/>
        <w:sym w:font="Symbol" w:char="F044"/>
      </w:r>
      <w:r>
        <w:t>pn.</w:t>
      </w:r>
      <w:r>
        <w:tab/>
      </w:r>
      <w:r>
        <w:tab/>
      </w:r>
      <w:r>
        <w:t xml:space="preserve">                             =</w:t>
      </w:r>
      <w:r>
        <w:rPr>
          <w:rFonts w:hint="default"/>
          <w:lang w:val="pl-PL"/>
        </w:rPr>
        <w:t xml:space="preserve"> </w:t>
      </w:r>
      <w:r>
        <w:t>200/200Pa</w:t>
      </w:r>
    </w:p>
    <w:p>
      <w:pPr>
        <w:bidi w:val="0"/>
      </w:pPr>
      <w:r>
        <w:t>Qel.                                              = 4x1,25  kW/400V</w:t>
      </w:r>
    </w:p>
    <w:p>
      <w:pPr>
        <w:bidi w:val="0"/>
      </w:pPr>
      <w:r>
        <w:t>Qg</w:t>
      </w:r>
      <w:r>
        <w:rPr>
          <w:rFonts w:hint="default"/>
          <w:lang w:val="pl-PL"/>
        </w:rPr>
        <w:t xml:space="preserve">  </w:t>
      </w:r>
      <w:r>
        <w:t xml:space="preserve">                                          </w:t>
      </w:r>
      <w:r>
        <w:rPr>
          <w:rFonts w:hint="default"/>
          <w:lang w:val="pl-PL"/>
        </w:rPr>
        <w:t xml:space="preserve">    </w:t>
      </w:r>
      <w:r>
        <w:t>= 18,0  kW/230V nagrzewnica elektryczna-wspomagająca</w:t>
      </w:r>
    </w:p>
    <w:p>
      <w:pPr>
        <w:bidi w:val="0"/>
      </w:pPr>
      <w:r>
        <w:t>Qgpc</w:t>
      </w:r>
      <w:r>
        <w:rPr>
          <w:rFonts w:hint="default"/>
          <w:lang w:val="pl-PL"/>
        </w:rPr>
        <w:t xml:space="preserve">  </w:t>
      </w:r>
      <w:r>
        <w:t xml:space="preserve">                                          = </w:t>
      </w:r>
      <w:r>
        <w:rPr>
          <w:rFonts w:hint="default"/>
          <w:lang w:val="pl-PL"/>
        </w:rPr>
        <w:t xml:space="preserve"> </w:t>
      </w:r>
      <w:r>
        <w:t>23,0  kW</w:t>
      </w:r>
    </w:p>
    <w:p>
      <w:pPr>
        <w:bidi w:val="0"/>
      </w:pPr>
      <w:r>
        <w:t>Qch</w:t>
      </w:r>
      <w:r>
        <w:rPr>
          <w:rFonts w:hint="default"/>
          <w:lang w:val="pl-PL"/>
        </w:rPr>
        <w:t xml:space="preserve"> </w:t>
      </w:r>
      <w:r>
        <w:t xml:space="preserve">                                             =</w:t>
      </w:r>
      <w:r>
        <w:rPr>
          <w:rFonts w:hint="default"/>
          <w:lang w:val="pl-PL"/>
        </w:rPr>
        <w:t xml:space="preserve"> </w:t>
      </w:r>
      <w:r>
        <w:t>25,0 kW</w:t>
      </w:r>
    </w:p>
    <w:p>
      <w:pPr>
        <w:bidi w:val="0"/>
      </w:pPr>
      <w:r>
        <w:t>UWAGA: WENTYLATORY EC</w:t>
      </w:r>
    </w:p>
    <w:p>
      <w:pPr>
        <w:bidi w:val="0"/>
      </w:pPr>
      <w:r>
        <w:t>Epr 2021</w:t>
      </w:r>
    </w:p>
    <w:p>
      <w:pPr>
        <w:bidi w:val="0"/>
      </w:pPr>
      <w:r>
        <w:t xml:space="preserve">NAWIEW POWIETRZA: Powietrze świeże po uzdatnieniu w centrali wentylacyjnej N1 doprowadzane zostanie systemem kanałów wentylacyjnych do pomieszczeń  i nawiewane będzie poprzez nawiewniki wirowe wraz ze skrzynką rozprężną oraz anemostaty, kratki przystosowane do zabudowy w na kanałach,  kanały jako elementy prowadzone po wierzchu </w:t>
      </w:r>
      <w:r>
        <w:rPr>
          <w:rFonts w:hint="default"/>
          <w:lang w:val="pl-PL"/>
        </w:rPr>
        <w:t xml:space="preserve"> </w:t>
      </w:r>
      <w:r>
        <w:t>i częściowo w strefie kanałów podwieszanych.</w:t>
      </w:r>
    </w:p>
    <w:p>
      <w:pPr>
        <w:bidi w:val="0"/>
      </w:pPr>
      <w:r>
        <w:t>Przy projektowaniu rozprowadzenia głównych kanałów instalacji wentylacyjnej wzięto pod uwagę fakt, iż mają one przebiegać w sposób widoczny. Na głównym kanale nawiewnym za centralą N1 przewidziano również montaż tłumików akustycznych.</w:t>
      </w:r>
    </w:p>
    <w:p>
      <w:pPr>
        <w:bidi w:val="0"/>
      </w:pPr>
      <w:r>
        <w:t>WYWIEW POWIETRZA : Powietrze usuwane będzie z pomieszczeń poprzez okrągłe lub prostokątne wywiewniki sufitowe, skąd po przejściu przez odzysk centrali wywiewnej W1 usuwane będzie na zewnątrz. Przy projektowaniu rozprowadzenia głównych kanałów instalacji wentylacyjnej wykorzystano przestrzeń pod stropem, kanały po wierzchu do ewentualnej obudowy g-k .Na głównym kanale wywiewnym za centralą W1 przewidziano również montaż tłumików akustycznych. Elementy wywiewne projektuje się jako kratki ścienne z przepustnicą regulacyjną OD.</w:t>
      </w:r>
    </w:p>
    <w:p>
      <w:pPr>
        <w:numPr>
          <w:ilvl w:val="0"/>
          <w:numId w:val="5"/>
        </w:numPr>
        <w:bidi w:val="0"/>
        <w:ind w:left="420" w:leftChars="0" w:hanging="420" w:firstLineChars="0"/>
        <w:rPr>
          <w:b/>
          <w:bCs/>
        </w:rPr>
      </w:pPr>
      <w:bookmarkStart w:id="9" w:name="_Toc161248858"/>
      <w:r>
        <w:rPr>
          <w:b/>
          <w:bCs/>
        </w:rPr>
        <w:t xml:space="preserve">N2/W2 - Instalacja WENTYLACJI nawiewno-wywiewnej </w:t>
      </w:r>
      <w:r>
        <w:rPr>
          <w:rFonts w:hint="default"/>
          <w:b/>
          <w:bCs/>
          <w:lang w:val="pl-PL"/>
        </w:rPr>
        <w:t>dla</w:t>
      </w:r>
      <w:r>
        <w:rPr>
          <w:b/>
          <w:bCs/>
        </w:rPr>
        <w:t xml:space="preserve"> K</w:t>
      </w:r>
      <w:bookmarkEnd w:id="9"/>
      <w:r>
        <w:rPr>
          <w:rFonts w:hint="default"/>
          <w:b/>
          <w:bCs/>
          <w:lang w:val="pl-PL"/>
        </w:rPr>
        <w:t>UCHNI</w:t>
      </w:r>
    </w:p>
    <w:p>
      <w:pPr>
        <w:bidi w:val="0"/>
        <w:spacing w:line="240" w:lineRule="auto"/>
      </w:pPr>
      <w:r>
        <w:t>Dla pomieszczenia kuchni zaprojektowano zrównoważoną mechaniczna wentylacje nawiewno - wywiewna realizowana przez:</w:t>
      </w:r>
    </w:p>
    <w:p>
      <w:pPr>
        <w:bidi w:val="0"/>
        <w:spacing w:line="240" w:lineRule="auto"/>
      </w:pPr>
      <w:r>
        <w:t>- centrale nawiewną  o wydajności 9000/9000 m3/h .</w:t>
      </w:r>
    </w:p>
    <w:p>
      <w:pPr>
        <w:bidi w:val="0"/>
        <w:spacing w:line="240" w:lineRule="auto"/>
      </w:pPr>
      <w:r>
        <w:t>Z  uwagi na technologie kuchni oraz mocy urządzeń zainstalowanych w pomieszczeniu ustalono</w:t>
      </w:r>
      <w:r>
        <w:rPr>
          <w:rFonts w:hint="default"/>
          <w:lang w:val="pl-PL"/>
        </w:rPr>
        <w:t xml:space="preserve"> </w:t>
      </w:r>
      <w:r>
        <w:t>na podstawie wytycznych normy zagranicznej VDI 2052, krotność wymiany powietrza dla</w:t>
      </w:r>
      <w:r>
        <w:rPr>
          <w:rFonts w:hint="default"/>
          <w:lang w:val="pl-PL"/>
        </w:rPr>
        <w:t xml:space="preserve"> </w:t>
      </w:r>
      <w:r>
        <w:t>okresu letniego na poziomie min.  25-krotnosci. Przyjęta krotność wymian została uwarunkowana</w:t>
      </w:r>
      <w:r>
        <w:rPr>
          <w:rFonts w:hint="default"/>
          <w:lang w:val="pl-PL"/>
        </w:rPr>
        <w:t xml:space="preserve"> </w:t>
      </w:r>
      <w:r>
        <w:t>dużymi zyskami ciepła i wilgoci w pomieszczeniu oraz wymogami technicznymi związanymi z praca okapów.</w:t>
      </w:r>
    </w:p>
    <w:p>
      <w:pPr>
        <w:bidi w:val="0"/>
        <w:spacing w:line="240" w:lineRule="auto"/>
      </w:pPr>
      <w:r>
        <w:t xml:space="preserve">Dobór urządzeń wg dyrektywy 1253/2015 . </w:t>
      </w:r>
    </w:p>
    <w:p>
      <w:pPr>
        <w:bidi w:val="0"/>
        <w:spacing w:line="240" w:lineRule="auto"/>
      </w:pPr>
      <w:r>
        <w:t xml:space="preserve">Przy doborze urządzeń kluczowe są parametry: </w:t>
      </w:r>
    </w:p>
    <w:p>
      <w:pPr>
        <w:bidi w:val="0"/>
        <w:spacing w:line="240" w:lineRule="auto"/>
        <w:rPr>
          <w:rFonts w:ascii="Arial Narrow" w:hAnsi="Arial Narrow" w:cs="Arial"/>
          <w:color w:val="0000FF"/>
        </w:rPr>
      </w:pPr>
      <w:r>
        <w:t>W tym celu wprowadzono ograniczenia i regulacje w kilku zakresach</w:t>
      </w:r>
      <w:r>
        <w:rPr>
          <w:rFonts w:ascii="Arial Narrow" w:hAnsi="Arial Narrow" w:cs="Arial"/>
          <w:color w:val="0000FF"/>
        </w:rPr>
        <w:t xml:space="preserve">: </w:t>
      </w:r>
    </w:p>
    <w:p>
      <w:pPr>
        <w:bidi w:val="0"/>
        <w:spacing w:line="240" w:lineRule="auto"/>
      </w:pPr>
      <w:r>
        <w:t xml:space="preserve">•  Doboru urządzeń, </w:t>
      </w:r>
    </w:p>
    <w:p>
      <w:pPr>
        <w:bidi w:val="0"/>
        <w:spacing w:line="240" w:lineRule="auto"/>
      </w:pPr>
      <w:r>
        <w:t xml:space="preserve">•  Zastosowanych podzespołów  </w:t>
      </w:r>
    </w:p>
    <w:p>
      <w:pPr>
        <w:bidi w:val="0"/>
        <w:spacing w:line="240" w:lineRule="auto"/>
      </w:pPr>
      <w:r>
        <w:t xml:space="preserve">•  Oznaczania urządzeń i dokumentacji z nią związanej </w:t>
      </w:r>
    </w:p>
    <w:p>
      <w:pPr>
        <w:bidi w:val="0"/>
        <w:spacing w:line="240" w:lineRule="auto"/>
      </w:pPr>
      <w:r>
        <w:t xml:space="preserve">•  Badania zgodności produktów z dyrektywą. </w:t>
      </w:r>
    </w:p>
    <w:p>
      <w:pPr>
        <w:bidi w:val="0"/>
        <w:spacing w:line="240" w:lineRule="auto"/>
      </w:pPr>
      <w:r>
        <w:t>Przy</w:t>
      </w:r>
      <w:r>
        <w:rPr>
          <w:rFonts w:hint="default"/>
          <w:lang w:val="pl-PL"/>
        </w:rPr>
        <w:t xml:space="preserve"> </w:t>
      </w:r>
      <w:r>
        <w:t xml:space="preserve">projektowanej wentylacji uwzględniono rozmieszczenie technologii kuchennej.  </w:t>
      </w:r>
    </w:p>
    <w:p>
      <w:pPr>
        <w:bidi w:val="0"/>
        <w:spacing w:line="240" w:lineRule="auto"/>
      </w:pPr>
      <w:r>
        <w:t xml:space="preserve">1.  Sprawność odzysku ciepła η t_swnm : </w:t>
      </w:r>
    </w:p>
    <w:p>
      <w:pPr>
        <w:bidi w:val="0"/>
        <w:spacing w:line="240" w:lineRule="auto"/>
      </w:pPr>
      <w:r>
        <w:t xml:space="preserve">W  2016  r  minimalna  sprawność  dla  UOC  układów  z  odzyskiem  ciepła  regeneracyjnym  (wymiennik  obrotowy  )  i  rekuperacyjny  (  wymiennik  krzyżowy  )  musi  być  na  poziomie minimum 67%   </w:t>
      </w:r>
    </w:p>
    <w:p>
      <w:pPr>
        <w:bidi w:val="0"/>
        <w:spacing w:line="240" w:lineRule="auto"/>
        <w:rPr>
          <w:rFonts w:hint="default"/>
          <w:lang w:val="pl-PL"/>
        </w:rPr>
      </w:pPr>
      <w:r>
        <w:t xml:space="preserve">W przypadku odzysku z medium pośredniczącym ( odzysk glikolowy ) na poziomie 63% </w:t>
      </w:r>
      <w:r>
        <w:rPr>
          <w:rFonts w:hint="default"/>
          <w:lang w:val="pl-PL"/>
        </w:rPr>
        <w:t>.</w:t>
      </w:r>
    </w:p>
    <w:p>
      <w:pPr>
        <w:bidi w:val="0"/>
        <w:spacing w:line="240" w:lineRule="auto"/>
        <w:rPr>
          <w:rFonts w:hint="default"/>
          <w:lang w:val="pl-PL"/>
        </w:rPr>
      </w:pPr>
      <w:r>
        <w:t>Dla okresu zimowego z uwagi na możliwość naturalnej kompensacji zysków ciepła i wilgoci oraz oszczędności energii ustalono maksymalna krotność wymian na poziomie n=16 -20 (dla tej krotności wymian została ustalona moc nagrzewnicy w centrali wentylacyjnej. Uwzględnia ona także temperaturę wywiewu na poziomie do 30 st C oraz wysokosprawny krzyżowy, przeciwprądowy odzysk ciepła o sprawności 76 %</w:t>
      </w:r>
      <w:r>
        <w:rPr>
          <w:rFonts w:hint="default"/>
          <w:lang w:val="pl-PL"/>
        </w:rPr>
        <w:t>.</w:t>
      </w:r>
    </w:p>
    <w:p>
      <w:pPr>
        <w:bidi w:val="0"/>
        <w:spacing w:line="240" w:lineRule="auto"/>
      </w:pPr>
      <w:r>
        <w:t>Powietrze świeże pobierane będzie z czerpni ściennej, skąd po poddaniu filtracji nawiewane będzie do pomieszczenia kuchni przez nawiewniki umieszczone w kanale wentylacyjnym nawiewnym oraz poprzez okapy z wbudowanymi nawiewnikami wiązki wychwytujące.</w:t>
      </w:r>
    </w:p>
    <w:p>
      <w:pPr>
        <w:bidi w:val="0"/>
        <w:spacing w:line="240" w:lineRule="auto"/>
      </w:pPr>
      <w:r>
        <w:t xml:space="preserve">Dla okresu zimowego przewiduje się podgrzanie powietrza świeże.go przez nagrzewnice pompy ciepła. Nagrzewnica wyposażona będzie w tryb chłodzenia. Powietrze ogrzewane będzie w zależności od zysków ciepła w pomieszczeniu, przy czym temperatura nawiewu </w:t>
      </w:r>
      <w:r>
        <w:rPr>
          <w:rFonts w:hint="default"/>
          <w:lang w:val="pl-PL"/>
        </w:rPr>
        <w:t xml:space="preserve">     </w:t>
      </w:r>
      <w:r>
        <w:t>w okresie zimowym nie powinna być niższa ni_ T = +16 oC. Nagrzewnice należy wyposażyć w system automatyki.</w:t>
      </w:r>
    </w:p>
    <w:p>
      <w:pPr>
        <w:bidi w:val="0"/>
        <w:spacing w:line="240" w:lineRule="auto"/>
      </w:pPr>
      <w:r>
        <w:t>Dla potrzeb zasilania nagrzewnicy wykorzystuje się energię elektryczną do napędu pompy ciepła.</w:t>
      </w:r>
    </w:p>
    <w:p>
      <w:pPr>
        <w:bidi w:val="0"/>
        <w:spacing w:line="240" w:lineRule="auto"/>
      </w:pPr>
      <w:r>
        <w:t>Wywiew realizowany będzie przez systemy instalacji oparte na wcześniej wspomnianej centrali wentylacyjnej w wykonaniu wewnętrznym umieszczoną w pomieszczeniu piwnicznym.</w:t>
      </w:r>
    </w:p>
    <w:p>
      <w:pPr>
        <w:bidi w:val="0"/>
        <w:spacing w:line="240" w:lineRule="auto"/>
      </w:pPr>
      <w:r>
        <w:t>Układ centrali wentylacyjnej odzyskuje ciepło  z powietrza z procesów technologii kuchni.</w:t>
      </w:r>
    </w:p>
    <w:p>
      <w:pPr>
        <w:bidi w:val="0"/>
        <w:spacing w:line="240" w:lineRule="auto"/>
      </w:pPr>
      <w:r>
        <w:t>Centrala wywiewna usuwa powietrze z kuchni oraz z pomieszczeń pomocniczych poprzez wywiewniki zamontowane na kanałach wentylacyjnych oraz poprzez okap kuchenny.</w:t>
      </w:r>
    </w:p>
    <w:p>
      <w:pPr>
        <w:bidi w:val="0"/>
        <w:spacing w:line="240" w:lineRule="auto"/>
      </w:pPr>
      <w:r>
        <w:t>Nad urządzeniami kuchennymi zostanie zamontowany na wysokości 1,4 m od blatu do urządzeń.</w:t>
      </w:r>
    </w:p>
    <w:p>
      <w:pPr>
        <w:bidi w:val="0"/>
        <w:spacing w:line="240" w:lineRule="auto"/>
      </w:pPr>
      <w:r>
        <w:t>Założono</w:t>
      </w:r>
      <w:r>
        <w:rPr>
          <w:rFonts w:hint="default"/>
          <w:lang w:val="pl-PL"/>
        </w:rPr>
        <w:t>,</w:t>
      </w:r>
      <w:r>
        <w:t xml:space="preserve"> iż wentylatory wywiewne i wyciągowy z kuchni i zostaną zblokowane praca </w:t>
      </w:r>
      <w:r>
        <w:rPr>
          <w:rFonts w:hint="default"/>
          <w:lang w:val="pl-PL"/>
        </w:rPr>
        <w:t xml:space="preserve">         </w:t>
      </w:r>
      <w:r>
        <w:t>z wentylatorem nawiewnym w centrali wentylacyjnej.</w:t>
      </w:r>
    </w:p>
    <w:p>
      <w:pPr>
        <w:bidi w:val="0"/>
        <w:spacing w:line="240" w:lineRule="auto"/>
      </w:pPr>
      <w:r>
        <w:t xml:space="preserve">Ponadto zostaną wyposażone w 5-stopnione przełączniki regulacji prędkości obrotowej umożliwiającej zmianę wydajności wentylatorów. </w:t>
      </w:r>
    </w:p>
    <w:p>
      <w:pPr>
        <w:bidi w:val="0"/>
        <w:spacing w:line="240" w:lineRule="auto"/>
      </w:pPr>
      <w:r>
        <w:t>Nawiew powietrza do pomieszczenia kuchni realizowany będzie kratkami wentylacyjnymi prostokątnymi montowanymi na kanałach wentylacyjnych, kratki łatwo zdejmowalne i łatwe do czyszczenia. Projektuje się kanały wentylacyjne prostokątne typu A/I. Wywiew realizowany również kratkami wentylacyjnymi prostokątnymi, także w wykonaniu do kuchni.</w:t>
      </w:r>
    </w:p>
    <w:p>
      <w:pPr>
        <w:bidi w:val="0"/>
      </w:pPr>
      <w:r>
        <w:t>Centrala wentylacyjna w wykonaniu wewnętrznym N2/W2</w:t>
      </w:r>
    </w:p>
    <w:p>
      <w:pPr>
        <w:bidi w:val="0"/>
        <w:spacing w:line="240" w:lineRule="auto"/>
        <w:rPr>
          <w:u w:val="single"/>
        </w:rPr>
      </w:pPr>
      <w:r>
        <w:rPr>
          <w:u w:val="single"/>
        </w:rPr>
        <w:t>Dane techniczne:</w:t>
      </w:r>
    </w:p>
    <w:p>
      <w:pPr>
        <w:bidi w:val="0"/>
        <w:spacing w:line="240" w:lineRule="auto"/>
      </w:pPr>
      <w:r>
        <w:t>Centrala wentylacyjna nawiewno-wywiewna  z krzyżowym  odzyskiem ciepła  w wykonaniu wewnętrznym</w:t>
      </w:r>
      <w:r>
        <w:rPr>
          <w:rFonts w:hint="default"/>
          <w:lang w:val="pl-PL"/>
        </w:rPr>
        <w:t xml:space="preserve"> </w:t>
      </w:r>
      <w:r>
        <w:t>z sekcjami:</w:t>
      </w:r>
    </w:p>
    <w:p>
      <w:pPr>
        <w:bidi w:val="0"/>
        <w:spacing w:line="240" w:lineRule="auto"/>
      </w:pPr>
      <w:r>
        <w:rPr>
          <w:rFonts w:hint="default"/>
          <w:lang w:val="pl-PL"/>
        </w:rPr>
        <w:t xml:space="preserve">- </w:t>
      </w:r>
      <w:r>
        <w:t>wentylatorową,</w:t>
      </w:r>
    </w:p>
    <w:p>
      <w:pPr>
        <w:bidi w:val="0"/>
        <w:spacing w:line="240" w:lineRule="auto"/>
      </w:pPr>
      <w:r>
        <w:t>- filtracji (filtry kieszeniowe klasy F5/G4)</w:t>
      </w:r>
    </w:p>
    <w:p>
      <w:pPr>
        <w:bidi w:val="0"/>
        <w:spacing w:line="240" w:lineRule="auto"/>
      </w:pPr>
      <w:r>
        <w:rPr>
          <w:rFonts w:hint="default"/>
          <w:lang w:val="pl-PL"/>
        </w:rPr>
        <w:t>- w</w:t>
      </w:r>
      <w:r>
        <w:t>ymiennikiem krzyżowym</w:t>
      </w:r>
    </w:p>
    <w:p>
      <w:pPr>
        <w:bidi w:val="0"/>
        <w:spacing w:line="240" w:lineRule="auto"/>
      </w:pPr>
      <w:r>
        <w:t xml:space="preserve">-nagrzewnica elektryczna </w:t>
      </w:r>
    </w:p>
    <w:p>
      <w:pPr>
        <w:bidi w:val="0"/>
        <w:spacing w:line="240" w:lineRule="auto"/>
      </w:pPr>
      <w:r>
        <w:t>-wbudowana pompa ciepła</w:t>
      </w:r>
    </w:p>
    <w:p>
      <w:pPr>
        <w:bidi w:val="0"/>
        <w:spacing w:line="240" w:lineRule="auto"/>
        <w:rPr>
          <w:rFonts w:ascii="Arial Narrow" w:hAnsi="Arial Narrow"/>
          <w:color w:val="0000FF"/>
          <w:spacing w:val="-2"/>
          <w:sz w:val="20"/>
        </w:rPr>
      </w:pPr>
      <w:r>
        <w:t>Wraz z kompletnym systemem sterowania i automatyki:</w:t>
      </w:r>
    </w:p>
    <w:p>
      <w:pPr>
        <w:bidi w:val="0"/>
        <w:spacing w:line="240" w:lineRule="auto"/>
      </w:pPr>
      <w:r>
        <w:t>Dane techniczne podstawowe:</w:t>
      </w:r>
    </w:p>
    <w:p>
      <w:pPr>
        <w:bidi w:val="0"/>
        <w:spacing w:line="240" w:lineRule="auto"/>
        <w:rPr>
          <w:lang w:val="en-GB"/>
        </w:rPr>
      </w:pPr>
      <w:r>
        <w:rPr>
          <w:lang w:val="en-GB"/>
        </w:rPr>
        <w:t>Vn.</w:t>
      </w:r>
      <w:r>
        <w:rPr>
          <w:lang w:val="en-GB"/>
        </w:rPr>
        <w:tab/>
      </w:r>
      <w:r>
        <w:rPr>
          <w:lang w:val="en-GB"/>
        </w:rPr>
        <w:tab/>
      </w:r>
      <w:r>
        <w:rPr>
          <w:lang w:val="en-GB"/>
        </w:rPr>
        <w:tab/>
      </w:r>
      <w:r>
        <w:rPr>
          <w:lang w:val="en-GB"/>
        </w:rPr>
        <w:t xml:space="preserve">                 =</w:t>
      </w:r>
      <w:r>
        <w:rPr>
          <w:rFonts w:hint="default"/>
          <w:lang w:val="pl-PL"/>
        </w:rPr>
        <w:t xml:space="preserve"> </w:t>
      </w:r>
      <w:r>
        <w:rPr>
          <w:lang w:val="en-GB"/>
        </w:rPr>
        <w:t>9000m3/h</w:t>
      </w:r>
    </w:p>
    <w:p>
      <w:pPr>
        <w:bidi w:val="0"/>
        <w:spacing w:line="240" w:lineRule="auto"/>
        <w:rPr>
          <w:lang w:val="en-GB"/>
        </w:rPr>
      </w:pPr>
      <w:r>
        <w:rPr>
          <w:lang w:val="en-GB"/>
        </w:rPr>
        <w:t>Vw</w:t>
      </w:r>
      <w:r>
        <w:rPr>
          <w:lang w:val="en-GB"/>
        </w:rPr>
        <w:tab/>
      </w:r>
      <w:r>
        <w:rPr>
          <w:lang w:val="en-GB"/>
        </w:rPr>
        <w:tab/>
      </w:r>
      <w:r>
        <w:rPr>
          <w:lang w:val="en-GB"/>
        </w:rPr>
        <w:tab/>
      </w:r>
      <w:r>
        <w:rPr>
          <w:lang w:val="en-GB"/>
        </w:rPr>
        <w:t xml:space="preserve">                 =</w:t>
      </w:r>
      <w:r>
        <w:rPr>
          <w:rFonts w:hint="default"/>
          <w:lang w:val="pl-PL"/>
        </w:rPr>
        <w:t xml:space="preserve"> </w:t>
      </w:r>
      <w:r>
        <w:rPr>
          <w:lang w:val="en-GB"/>
        </w:rPr>
        <w:t>9000m3/h</w:t>
      </w:r>
    </w:p>
    <w:p>
      <w:pPr>
        <w:bidi w:val="0"/>
        <w:spacing w:line="240" w:lineRule="auto"/>
      </w:pPr>
      <w:r>
        <w:rPr/>
        <w:sym w:font="Symbol" w:char="F044"/>
      </w:r>
      <w:r>
        <w:rPr>
          <w:lang w:val="en-GB"/>
        </w:rPr>
        <w:t>pn.</w:t>
      </w:r>
      <w:r>
        <w:rPr>
          <w:lang w:val="en-GB"/>
        </w:rPr>
        <w:tab/>
      </w:r>
      <w:r>
        <w:rPr>
          <w:lang w:val="en-GB"/>
        </w:rPr>
        <w:tab/>
      </w:r>
      <w:r>
        <w:rPr>
          <w:lang w:val="en-GB"/>
        </w:rPr>
        <w:t xml:space="preserve">                             </w:t>
      </w:r>
      <w:r>
        <w:t>=</w:t>
      </w:r>
      <w:r>
        <w:rPr>
          <w:rFonts w:hint="default"/>
          <w:lang w:val="pl-PL"/>
        </w:rPr>
        <w:t xml:space="preserve"> </w:t>
      </w:r>
      <w:r>
        <w:t>600/600Pa</w:t>
      </w:r>
    </w:p>
    <w:p>
      <w:pPr>
        <w:bidi w:val="0"/>
        <w:spacing w:line="240" w:lineRule="auto"/>
      </w:pPr>
      <w:r>
        <w:t>Qel.                                              = 4x1,12  kW/400V</w:t>
      </w:r>
    </w:p>
    <w:p>
      <w:pPr>
        <w:bidi w:val="0"/>
        <w:spacing w:line="240" w:lineRule="auto"/>
      </w:pPr>
      <w:r>
        <w:t>Qg</w:t>
      </w:r>
      <w:r>
        <w:rPr>
          <w:rFonts w:hint="default"/>
          <w:lang w:val="pl-PL"/>
        </w:rPr>
        <w:t xml:space="preserve">   </w:t>
      </w:r>
      <w:r>
        <w:t xml:space="preserve">                                         </w:t>
      </w:r>
      <w:r>
        <w:rPr>
          <w:rFonts w:hint="default"/>
          <w:lang w:val="pl-PL"/>
        </w:rPr>
        <w:t xml:space="preserve">    </w:t>
      </w:r>
      <w:r>
        <w:t>= 18,0  kW/230V nagrzewnica elektryczna-wspomagająca</w:t>
      </w:r>
    </w:p>
    <w:p>
      <w:pPr>
        <w:bidi w:val="0"/>
        <w:spacing w:line="240" w:lineRule="auto"/>
      </w:pPr>
      <w:r>
        <w:t>Qgpc</w:t>
      </w:r>
      <w:r>
        <w:rPr>
          <w:rFonts w:hint="default"/>
          <w:lang w:val="pl-PL"/>
        </w:rPr>
        <w:t xml:space="preserve">    </w:t>
      </w:r>
      <w:r>
        <w:t xml:space="preserve">                                        = 29,5kW</w:t>
      </w:r>
    </w:p>
    <w:p>
      <w:pPr>
        <w:bidi w:val="0"/>
        <w:spacing w:line="240" w:lineRule="auto"/>
      </w:pPr>
      <w:r>
        <w:t>Qch</w:t>
      </w:r>
      <w:r>
        <w:rPr>
          <w:rFonts w:hint="default"/>
          <w:lang w:val="pl-PL"/>
        </w:rPr>
        <w:t xml:space="preserve"> </w:t>
      </w:r>
      <w:r>
        <w:t xml:space="preserve">                                           </w:t>
      </w:r>
      <w:r>
        <w:rPr>
          <w:rFonts w:hint="default"/>
          <w:lang w:val="pl-PL"/>
        </w:rPr>
        <w:t xml:space="preserve"> </w:t>
      </w:r>
      <w:r>
        <w:t xml:space="preserve"> =</w:t>
      </w:r>
      <w:r>
        <w:rPr>
          <w:rFonts w:hint="default"/>
          <w:lang w:val="pl-PL"/>
        </w:rPr>
        <w:t xml:space="preserve"> </w:t>
      </w:r>
      <w:r>
        <w:t>33,2 kW</w:t>
      </w:r>
    </w:p>
    <w:p>
      <w:pPr>
        <w:bidi w:val="0"/>
        <w:spacing w:line="240" w:lineRule="auto"/>
      </w:pPr>
      <w:r>
        <w:t>UWAGA: WENTYLATORY EC</w:t>
      </w:r>
    </w:p>
    <w:p>
      <w:pPr>
        <w:bidi w:val="0"/>
        <w:spacing w:line="240" w:lineRule="auto"/>
        <w:rPr>
          <w:rFonts w:ascii="Arial Narrow" w:hAnsi="Arial Narrow"/>
          <w:color w:val="0000FF"/>
          <w:sz w:val="20"/>
        </w:rPr>
      </w:pPr>
      <w:r>
        <w:t>Epr 2021</w:t>
      </w:r>
    </w:p>
    <w:p>
      <w:pPr>
        <w:bidi w:val="0"/>
        <w:rPr>
          <w:i/>
          <w:iCs/>
        </w:rPr>
      </w:pPr>
      <w:r>
        <w:rPr>
          <w:i/>
          <w:iCs/>
        </w:rPr>
        <w:t>UKŁAD WENTYLACYJNY ODCIĄGI Z OKAPÓW:</w:t>
      </w:r>
    </w:p>
    <w:p>
      <w:pPr>
        <w:bidi w:val="0"/>
        <w:spacing w:line="240" w:lineRule="auto"/>
      </w:pPr>
      <w:r>
        <w:t xml:space="preserve">Dla potrzeb usuwania zysków ciepła i wilgoci znad urządzeń technologicznych </w:t>
      </w:r>
      <w:r>
        <w:rPr>
          <w:lang w:val="pl-PL"/>
        </w:rPr>
        <w:t>centralnych</w:t>
      </w:r>
      <w:r>
        <w:rPr>
          <w:rFonts w:hint="default"/>
          <w:lang w:val="pl-PL"/>
        </w:rPr>
        <w:t xml:space="preserve"> </w:t>
      </w:r>
      <w:r>
        <w:t xml:space="preserve">projektuje się okap wyspowy  ze stali kwasoodpornej wyposażone w filtry tłuszczowe </w:t>
      </w:r>
      <w:r>
        <w:rPr>
          <w:rFonts w:hint="default"/>
          <w:lang w:val="pl-PL"/>
        </w:rPr>
        <w:t xml:space="preserve">           </w:t>
      </w:r>
      <w:r>
        <w:t>o wymiarach 4300x2900/h=540 mm o wydajności: Vn=5000 m3/h. , Vw=7000m3/h.</w:t>
      </w:r>
    </w:p>
    <w:p>
      <w:pPr>
        <w:bidi w:val="0"/>
        <w:spacing w:line="240" w:lineRule="auto"/>
      </w:pPr>
      <w:r>
        <w:t>Wywiew realizowany przy pomocy centrali wentylacyjnej wywiewnej  przeznaczonej do wyciągu oparów kuchennych (silnik wentylatora poza struga wyciąganego powietrza, filtry tłuszczowe). Centrala usytuowana jako podwieszana w komunikacji kuchennej.</w:t>
      </w:r>
    </w:p>
    <w:p>
      <w:pPr>
        <w:bidi w:val="0"/>
        <w:spacing w:line="240" w:lineRule="auto"/>
      </w:pPr>
      <w:r>
        <w:t>Okap ze względu na wysoko c  kuchni h=3,0m pełni jedyny wyciąg powietrza.</w:t>
      </w:r>
    </w:p>
    <w:p>
      <w:pPr>
        <w:bidi w:val="0"/>
        <w:spacing w:line="240" w:lineRule="auto"/>
      </w:pPr>
      <w:r>
        <w:t xml:space="preserve">Pracę wywiewu z okapu należy </w:t>
      </w:r>
      <w:r>
        <w:rPr>
          <w:lang w:val="pl-PL"/>
        </w:rPr>
        <w:t>sprzężyc</w:t>
      </w:r>
      <w:r>
        <w:t xml:space="preserve">  z układem wentylacji mechanicznej nawiewnej.</w:t>
      </w:r>
    </w:p>
    <w:p>
      <w:pPr>
        <w:bidi w:val="0"/>
        <w:spacing w:line="240" w:lineRule="auto"/>
        <w:rPr>
          <w:color w:val="0000FF"/>
        </w:rPr>
      </w:pPr>
      <w:r>
        <w:t xml:space="preserve">Dla poszczególnych zgodnie z nową aranżacją dobiera się okapy o wymiarach 1300x1000x540 o wydajności Vw=650 m3/h. Okapy dodatkowe zaznaczono na </w:t>
      </w:r>
      <w:r>
        <w:rPr>
          <w:lang w:val="pl-PL"/>
        </w:rPr>
        <w:t>części</w:t>
      </w:r>
      <w:r>
        <w:t xml:space="preserve"> graficznej. </w:t>
      </w:r>
    </w:p>
    <w:p>
      <w:pPr>
        <w:numPr>
          <w:ilvl w:val="0"/>
          <w:numId w:val="5"/>
        </w:numPr>
        <w:bidi w:val="0"/>
        <w:ind w:left="420" w:leftChars="0" w:hanging="420" w:firstLineChars="0"/>
        <w:rPr>
          <w:b/>
          <w:bCs/>
        </w:rPr>
      </w:pPr>
      <w:bookmarkStart w:id="10" w:name="_Toc161248859"/>
      <w:r>
        <w:rPr>
          <w:rFonts w:hint="default"/>
          <w:b/>
          <w:bCs/>
          <w:lang w:val="pl-PL"/>
        </w:rPr>
        <w:t>t</w:t>
      </w:r>
      <w:r>
        <w:rPr>
          <w:b/>
          <w:bCs/>
        </w:rPr>
        <w:t>łumiki akustyczne</w:t>
      </w:r>
      <w:bookmarkEnd w:id="10"/>
    </w:p>
    <w:p>
      <w:pPr>
        <w:bidi w:val="0"/>
      </w:pPr>
      <w:r>
        <w:t xml:space="preserve">Na instalacji nawiewnej i wywiewnej przewidziano montaż tłumików akustycznych </w:t>
      </w:r>
      <w:r>
        <w:rPr>
          <w:rFonts w:hint="default"/>
          <w:lang w:val="pl-PL"/>
        </w:rPr>
        <w:t xml:space="preserve">              </w:t>
      </w:r>
      <w:r>
        <w:t>o zdolności tłumienia L=30 dBA w paśmie 250 Hz.</w:t>
      </w:r>
    </w:p>
    <w:p>
      <w:pPr>
        <w:numPr>
          <w:ilvl w:val="0"/>
          <w:numId w:val="5"/>
        </w:numPr>
        <w:bidi w:val="0"/>
        <w:ind w:left="420" w:leftChars="0" w:hanging="420" w:firstLineChars="0"/>
        <w:rPr>
          <w:color w:val="auto"/>
        </w:rPr>
      </w:pPr>
      <w:bookmarkStart w:id="11" w:name="_Toc161248860"/>
      <w:r>
        <w:rPr>
          <w:rFonts w:hint="default"/>
          <w:b/>
          <w:bCs/>
          <w:color w:val="auto"/>
          <w:lang w:val="pl-PL"/>
        </w:rPr>
        <w:t>c</w:t>
      </w:r>
      <w:r>
        <w:rPr>
          <w:b/>
          <w:bCs/>
          <w:color w:val="auto"/>
        </w:rPr>
        <w:t>zerpnie i wyrzutnie powietrza</w:t>
      </w:r>
      <w:bookmarkEnd w:id="11"/>
      <w:r>
        <w:rPr>
          <w:b/>
          <w:bCs/>
          <w:color w:val="auto"/>
        </w:rPr>
        <w:t xml:space="preserve"> </w:t>
      </w:r>
    </w:p>
    <w:p>
      <w:pPr>
        <w:bidi w:val="0"/>
        <w:rPr>
          <w:rFonts w:hint="default"/>
          <w:lang w:val="pl-PL"/>
        </w:rPr>
      </w:pPr>
      <w:r>
        <w:t xml:space="preserve"> W układzie wentylacyjnym </w:t>
      </w:r>
      <w:r>
        <w:rPr>
          <w:lang w:val="pl-PL"/>
        </w:rPr>
        <w:t>wykorzystano</w:t>
      </w:r>
      <w:r>
        <w:t xml:space="preserve"> istniejące czerpnie w elewacji oraz istniejącą wyrzutnie terenową</w:t>
      </w:r>
      <w:r>
        <w:rPr>
          <w:rFonts w:hint="default"/>
          <w:lang w:val="pl-PL"/>
        </w:rPr>
        <w:t>.</w:t>
      </w:r>
    </w:p>
    <w:p>
      <w:pPr>
        <w:pStyle w:val="21"/>
        <w:numPr>
          <w:ilvl w:val="0"/>
          <w:numId w:val="6"/>
        </w:numPr>
        <w:bidi w:val="0"/>
        <w:ind w:left="0" w:leftChars="0" w:firstLine="0" w:firstLineChars="0"/>
      </w:pPr>
      <w:r>
        <w:t>Warunki ochrony przeciwpożarowej</w:t>
      </w:r>
    </w:p>
    <w:p>
      <w:pPr>
        <w:bidi w:val="0"/>
        <w:rPr>
          <w:lang w:eastAsia="ar-SA"/>
        </w:rPr>
      </w:pPr>
      <w:r>
        <w:rPr>
          <w:lang w:eastAsia="ar-SA"/>
        </w:rPr>
        <w:t>Instalacja wentylacji mechanicznej jest wykonana wyłącznie z materiałów niepalnych i nie stwarzających zagrożenia pożarowego. Wszystkie przejścia przewodów wentylacyjnych przez przegrody oddzielenia pożarowego należy wyposażyć w klapy ppoż. o odporności ogniowej równej odporności przebijanej przegrody.</w:t>
      </w:r>
    </w:p>
    <w:p>
      <w:pPr>
        <w:numPr>
          <w:ilvl w:val="0"/>
          <w:numId w:val="0"/>
        </w:numPr>
        <w:spacing w:after="200" w:line="276" w:lineRule="auto"/>
        <w:jc w:val="both"/>
        <w:rPr>
          <w:rFonts w:hint="default"/>
          <w:lang w:val="pl-PL"/>
        </w:rPr>
      </w:pPr>
      <w:r>
        <w:rPr>
          <w:rFonts w:hint="default"/>
          <w:lang w:val="pl-PL"/>
        </w:rPr>
        <w:t xml:space="preserve">Pozostałe warunki ochrony przeciwpożarowej bez zmian. </w:t>
      </w:r>
    </w:p>
    <w:p>
      <w:pPr>
        <w:rPr>
          <w:bCs/>
          <w:color w:val="FF0000"/>
        </w:rPr>
      </w:pPr>
    </w:p>
    <w:p>
      <w:pPr>
        <w:rPr>
          <w:bCs/>
          <w:color w:val="FF0000"/>
        </w:rPr>
      </w:pPr>
    </w:p>
    <w:p>
      <w:pPr>
        <w:pStyle w:val="11"/>
        <w:ind w:left="0" w:right="283"/>
        <w:jc w:val="right"/>
        <w:rPr>
          <w:b/>
        </w:rPr>
      </w:pPr>
      <w:r>
        <w:rPr>
          <w:b/>
        </w:rPr>
        <w:t>mgr inż. arch. Sabina Bagińska</w:t>
      </w:r>
    </w:p>
    <w:p>
      <w:pPr>
        <w:pStyle w:val="11"/>
        <w:ind w:firstLine="5529"/>
        <w:jc w:val="center"/>
        <w:rPr>
          <w:b/>
          <w:sz w:val="22"/>
          <w:szCs w:val="22"/>
        </w:rPr>
      </w:pPr>
      <w:r>
        <w:rPr>
          <w:b/>
          <w:sz w:val="22"/>
          <w:szCs w:val="22"/>
        </w:rPr>
        <w:t>nr up.06/OPOKK/2014</w:t>
      </w:r>
    </w:p>
    <w:p>
      <w:pPr>
        <w:pStyle w:val="11"/>
        <w:ind w:firstLine="5529"/>
        <w:jc w:val="center"/>
        <w:rPr>
          <w:b/>
          <w:sz w:val="22"/>
          <w:szCs w:val="22"/>
        </w:rPr>
      </w:pPr>
    </w:p>
    <w:p>
      <w:pPr>
        <w:pStyle w:val="11"/>
        <w:ind w:firstLine="5529"/>
        <w:jc w:val="center"/>
        <w:rPr>
          <w:b/>
          <w:sz w:val="22"/>
          <w:szCs w:val="22"/>
        </w:rPr>
      </w:pPr>
    </w:p>
    <w:p>
      <w:pPr>
        <w:rPr>
          <w:b/>
          <w:sz w:val="22"/>
          <w:szCs w:val="22"/>
        </w:rPr>
      </w:pPr>
      <w:r>
        <w:rPr>
          <w:b/>
          <w:sz w:val="22"/>
          <w:szCs w:val="22"/>
        </w:rPr>
        <w:br w:type="page"/>
      </w:r>
    </w:p>
    <w:p>
      <w:pPr>
        <w:jc w:val="left"/>
        <w:rPr>
          <w:rFonts w:hint="default" w:ascii="Arial Narrow" w:hAnsi="Arial Narrow" w:cs="Arial"/>
          <w:b/>
          <w:bCs/>
          <w:sz w:val="20"/>
          <w:lang w:val="pl-PL"/>
        </w:rPr>
      </w:pPr>
      <w:r>
        <w:rPr>
          <w:rFonts w:hint="default" w:ascii="Arial Narrow" w:hAnsi="Arial Narrow" w:cs="Arial"/>
          <w:b/>
          <w:bCs/>
          <w:sz w:val="20"/>
          <w:lang w:val="pl-PL"/>
        </w:rPr>
        <w:t>ZAŁĄCZNIK NR 1</w:t>
      </w:r>
    </w:p>
    <w:p>
      <w:pPr>
        <w:jc w:val="left"/>
        <w:rPr>
          <w:rFonts w:hint="default" w:ascii="Arial Narrow" w:hAnsi="Arial Narrow" w:cs="Arial"/>
          <w:b/>
          <w:bCs/>
          <w:sz w:val="20"/>
          <w:lang w:val="pl-PL"/>
        </w:rPr>
      </w:pPr>
      <w:r>
        <w:rPr>
          <w:rFonts w:ascii="Arial Narrow" w:hAnsi="Arial Narrow" w:cs="Arial"/>
          <w:b/>
          <w:bCs/>
          <w:sz w:val="20"/>
        </w:rPr>
        <w:t>Tabela nr 1 Tabela mikroklimatycznych w pomieszczeniu</w:t>
      </w:r>
      <w:r>
        <w:rPr>
          <w:rFonts w:hint="default" w:ascii="Arial Narrow" w:hAnsi="Arial Narrow" w:cs="Arial"/>
          <w:b/>
          <w:bCs/>
          <w:sz w:val="20"/>
          <w:lang w:val="pl-PL"/>
        </w:rPr>
        <w:t xml:space="preserve"> kuchni </w:t>
      </w:r>
    </w:p>
    <w:p>
      <w:pPr>
        <w:jc w:val="left"/>
        <w:rPr>
          <w:rFonts w:ascii="Arial Narrow" w:hAnsi="Arial Narrow" w:cs="Arial"/>
          <w:sz w:val="20"/>
        </w:rPr>
      </w:pPr>
      <w:r>
        <w:rPr>
          <w:rFonts w:ascii="Arial Narrow" w:hAnsi="Arial Narrow" w:cs="Arial"/>
          <w:sz w:val="20"/>
        </w:rPr>
        <w:drawing>
          <wp:inline distT="0" distB="0" distL="114300" distR="114300">
            <wp:extent cx="5781675" cy="6993255"/>
            <wp:effectExtent l="0" t="0" r="9525" b="17145"/>
            <wp:docPr id="1" name="Obraz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1"/>
                    <pic:cNvPicPr>
                      <a:picLocks noChangeAspect="1"/>
                    </pic:cNvPicPr>
                  </pic:nvPicPr>
                  <pic:blipFill>
                    <a:blip r:embed="rId7"/>
                    <a:stretch>
                      <a:fillRect/>
                    </a:stretch>
                  </pic:blipFill>
                  <pic:spPr>
                    <a:xfrm>
                      <a:off x="0" y="0"/>
                      <a:ext cx="5781675" cy="6993255"/>
                    </a:xfrm>
                    <a:prstGeom prst="rect">
                      <a:avLst/>
                    </a:prstGeom>
                    <a:noFill/>
                    <a:ln>
                      <a:noFill/>
                    </a:ln>
                  </pic:spPr>
                </pic:pic>
              </a:graphicData>
            </a:graphic>
          </wp:inline>
        </w:drawing>
      </w:r>
    </w:p>
    <w:p>
      <w:pPr>
        <w:pStyle w:val="2"/>
        <w:numPr>
          <w:ilvl w:val="0"/>
          <w:numId w:val="0"/>
        </w:numPr>
        <w:rPr>
          <w:rFonts w:ascii="Arial Narrow" w:hAnsi="Arial Narrow"/>
          <w:sz w:val="20"/>
        </w:rPr>
      </w:pPr>
      <w:r>
        <w:rPr>
          <w:rFonts w:ascii="Arial Narrow" w:hAnsi="Arial Narrow"/>
          <w:sz w:val="20"/>
        </w:rPr>
        <w:t xml:space="preserve">     </w:t>
      </w:r>
      <w:bookmarkStart w:id="12" w:name="_Toc161248851"/>
    </w:p>
    <w:p>
      <w:pPr>
        <w:rPr>
          <w:rFonts w:ascii="Arial Narrow" w:hAnsi="Arial Narrow"/>
          <w:sz w:val="20"/>
        </w:rPr>
      </w:pPr>
      <w:r>
        <w:rPr>
          <w:rFonts w:ascii="Arial Narrow" w:hAnsi="Arial Narrow"/>
          <w:sz w:val="20"/>
        </w:rPr>
        <w:br w:type="page"/>
      </w:r>
    </w:p>
    <w:p>
      <w:pPr>
        <w:pStyle w:val="2"/>
        <w:numPr>
          <w:ilvl w:val="0"/>
          <w:numId w:val="0"/>
        </w:numPr>
        <w:rPr>
          <w:rFonts w:hint="default" w:ascii="Arial Narrow" w:hAnsi="Arial Narrow"/>
          <w:sz w:val="20"/>
          <w:lang w:val="pl-PL"/>
        </w:rPr>
      </w:pPr>
      <w:bookmarkStart w:id="14" w:name="_GoBack"/>
      <w:bookmarkEnd w:id="14"/>
      <w:r>
        <w:rPr>
          <w:rFonts w:hint="default" w:ascii="Arial Narrow" w:hAnsi="Arial Narrow"/>
          <w:sz w:val="20"/>
          <w:lang w:val="pl-PL"/>
        </w:rPr>
        <w:t>ZAŁĄCZNIK NR 2</w:t>
      </w:r>
    </w:p>
    <w:p>
      <w:pPr>
        <w:pStyle w:val="2"/>
        <w:numPr>
          <w:ilvl w:val="0"/>
          <w:numId w:val="0"/>
        </w:numPr>
        <w:ind w:firstLine="301" w:firstLineChars="150"/>
        <w:rPr>
          <w:rFonts w:ascii="Arial Narrow" w:hAnsi="Arial Narrow"/>
          <w:sz w:val="20"/>
        </w:rPr>
      </w:pPr>
      <w:r>
        <w:rPr>
          <w:rFonts w:ascii="Arial Narrow" w:hAnsi="Arial Narrow"/>
          <w:sz w:val="20"/>
        </w:rPr>
        <w:t>Tabela nr 2 Tabela mikroklimatycznych w pomieszczeniu pralni</w:t>
      </w:r>
      <w:bookmarkEnd w:id="12"/>
      <w:r>
        <w:rPr>
          <w:rFonts w:ascii="Arial Narrow" w:hAnsi="Arial Narrow"/>
          <w:sz w:val="20"/>
        </w:rPr>
        <w:t xml:space="preserve"> </w:t>
      </w:r>
    </w:p>
    <w:p/>
    <w:p>
      <w:pPr>
        <w:pStyle w:val="2"/>
        <w:numPr>
          <w:ilvl w:val="0"/>
          <w:numId w:val="0"/>
        </w:numPr>
        <w:rPr>
          <w:rFonts w:ascii="Arial Narrow" w:hAnsi="Arial Narrow"/>
          <w:sz w:val="20"/>
        </w:rPr>
      </w:pPr>
      <w:bookmarkStart w:id="13" w:name="_Toc161248852"/>
      <w:r>
        <w:rPr>
          <w:rFonts w:ascii="Arial Narrow" w:hAnsi="Arial Narrow"/>
          <w:sz w:val="20"/>
        </w:rPr>
        <w:drawing>
          <wp:inline distT="0" distB="0" distL="114300" distR="114300">
            <wp:extent cx="5782310" cy="7082155"/>
            <wp:effectExtent l="0" t="0" r="8890" b="4445"/>
            <wp:docPr id="2" name="Obraz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2"/>
                    <pic:cNvPicPr>
                      <a:picLocks noChangeAspect="1"/>
                    </pic:cNvPicPr>
                  </pic:nvPicPr>
                  <pic:blipFill>
                    <a:blip r:embed="rId8"/>
                    <a:stretch>
                      <a:fillRect/>
                    </a:stretch>
                  </pic:blipFill>
                  <pic:spPr>
                    <a:xfrm>
                      <a:off x="0" y="0"/>
                      <a:ext cx="5782310" cy="7082155"/>
                    </a:xfrm>
                    <a:prstGeom prst="rect">
                      <a:avLst/>
                    </a:prstGeom>
                    <a:noFill/>
                    <a:ln>
                      <a:noFill/>
                    </a:ln>
                  </pic:spPr>
                </pic:pic>
              </a:graphicData>
            </a:graphic>
          </wp:inline>
        </w:drawing>
      </w:r>
      <w:bookmarkEnd w:id="13"/>
    </w:p>
    <w:p/>
    <w:p>
      <w:pPr>
        <w:pStyle w:val="11"/>
        <w:ind w:firstLine="5529"/>
        <w:jc w:val="center"/>
        <w:rPr>
          <w:b/>
          <w:sz w:val="22"/>
          <w:szCs w:val="22"/>
        </w:rPr>
      </w:pPr>
    </w:p>
    <w:sectPr>
      <w:footerReference r:id="rId5" w:type="default"/>
      <w:pgSz w:w="11906" w:h="16838"/>
      <w:pgMar w:top="1417" w:right="1417" w:bottom="1417" w:left="1417" w:header="708" w:footer="708" w:gutter="0"/>
      <w:pgNumType w:start="1"/>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Mangal">
    <w:altName w:val="Segoe Print"/>
    <w:panose1 w:val="00000400000000000000"/>
    <w:charset w:val="01"/>
    <w:family w:val="roman"/>
    <w:pitch w:val="default"/>
    <w:sig w:usb0="00000000" w:usb1="00000000" w:usb2="00000000" w:usb3="00000000" w:csb0="00000000" w:csb1="00000000"/>
  </w:font>
  <w:font w:name="Cambria">
    <w:panose1 w:val="02040503050406030204"/>
    <w:charset w:val="EE"/>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Arial Narrow">
    <w:panose1 w:val="020B0606020202030204"/>
    <w:charset w:val="EE"/>
    <w:family w:val="swiss"/>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504735"/>
      <w:docPartObj>
        <w:docPartGallery w:val="autotext"/>
      </w:docPartObj>
    </w:sdtPr>
    <w:sdtContent>
      <w:p>
        <w:pPr>
          <w:pStyle w:val="14"/>
          <w:jc w:val="right"/>
        </w:pPr>
        <w:r>
          <w:rPr>
            <w:sz w:val="20"/>
            <w:szCs w:val="20"/>
          </w:rPr>
          <w:fldChar w:fldCharType="begin"/>
        </w:r>
        <w:r>
          <w:rPr>
            <w:sz w:val="20"/>
            <w:szCs w:val="20"/>
          </w:rPr>
          <w:instrText xml:space="preserve"> PAGE   \* MERGEFORMAT </w:instrText>
        </w:r>
        <w:r>
          <w:rPr>
            <w:sz w:val="20"/>
            <w:szCs w:val="20"/>
          </w:rPr>
          <w:fldChar w:fldCharType="separate"/>
        </w:r>
        <w:r>
          <w:rPr>
            <w:sz w:val="20"/>
            <w:szCs w:val="20"/>
          </w:rPr>
          <w:t>18</w:t>
        </w:r>
        <w:r>
          <w:rPr>
            <w:sz w:val="20"/>
            <w:szCs w:val="20"/>
          </w:rPr>
          <w:fldChar w:fldCharType="end"/>
        </w:r>
      </w:p>
    </w:sdtContent>
  </w:sdt>
  <w:p>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69BAC5"/>
    <w:multiLevelType w:val="singleLevel"/>
    <w:tmpl w:val="1C69BAC5"/>
    <w:lvl w:ilvl="0" w:tentative="0">
      <w:start w:val="12"/>
      <w:numFmt w:val="decimal"/>
      <w:suff w:val="space"/>
      <w:lvlText w:val="%1."/>
      <w:lvlJc w:val="left"/>
    </w:lvl>
  </w:abstractNum>
  <w:abstractNum w:abstractNumId="1">
    <w:nsid w:val="2D19BB12"/>
    <w:multiLevelType w:val="singleLevel"/>
    <w:tmpl w:val="2D19BB12"/>
    <w:lvl w:ilvl="0" w:tentative="0">
      <w:start w:val="1"/>
      <w:numFmt w:val="bullet"/>
      <w:lvlText w:val=""/>
      <w:lvlJc w:val="left"/>
      <w:pPr>
        <w:tabs>
          <w:tab w:val="left" w:pos="420"/>
        </w:tabs>
        <w:ind w:left="420" w:leftChars="0" w:hanging="420" w:firstLineChars="0"/>
      </w:pPr>
      <w:rPr>
        <w:rFonts w:hint="default" w:ascii="Wingdings" w:hAnsi="Wingdings"/>
        <w:sz w:val="15"/>
      </w:rPr>
    </w:lvl>
  </w:abstractNum>
  <w:abstractNum w:abstractNumId="2">
    <w:nsid w:val="2EE2686D"/>
    <w:multiLevelType w:val="singleLevel"/>
    <w:tmpl w:val="2EE2686D"/>
    <w:lvl w:ilvl="0" w:tentative="0">
      <w:start w:val="1"/>
      <w:numFmt w:val="bullet"/>
      <w:lvlText w:val=""/>
      <w:lvlJc w:val="left"/>
      <w:pPr>
        <w:tabs>
          <w:tab w:val="left" w:pos="420"/>
        </w:tabs>
        <w:ind w:left="420" w:leftChars="0" w:hanging="420" w:firstLineChars="0"/>
      </w:pPr>
      <w:rPr>
        <w:rFonts w:hint="default" w:ascii="Wingdings" w:hAnsi="Wingdings"/>
        <w:sz w:val="15"/>
      </w:rPr>
    </w:lvl>
  </w:abstractNum>
  <w:abstractNum w:abstractNumId="3">
    <w:nsid w:val="3BB307FA"/>
    <w:multiLevelType w:val="multilevel"/>
    <w:tmpl w:val="3BB307FA"/>
    <w:lvl w:ilvl="0" w:tentative="0">
      <w:start w:val="0"/>
      <w:numFmt w:val="bullet"/>
      <w:pStyle w:val="58"/>
      <w:lvlText w:val="•"/>
      <w:legacy w:legacy="1" w:legacySpace="0" w:legacyIndent="350"/>
      <w:lvlJc w:val="left"/>
      <w:pPr>
        <w:ind w:left="0" w:firstLine="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190DF75"/>
    <w:multiLevelType w:val="singleLevel"/>
    <w:tmpl w:val="4190DF75"/>
    <w:lvl w:ilvl="0" w:tentative="0">
      <w:start w:val="12"/>
      <w:numFmt w:val="decimal"/>
      <w:suff w:val="space"/>
      <w:lvlText w:val="%1."/>
      <w:lvlJc w:val="left"/>
    </w:lvl>
  </w:abstractNum>
  <w:abstractNum w:abstractNumId="5">
    <w:nsid w:val="4A6001F7"/>
    <w:multiLevelType w:val="multilevel"/>
    <w:tmpl w:val="4A6001F7"/>
    <w:lvl w:ilvl="0" w:tentative="0">
      <w:start w:val="1"/>
      <w:numFmt w:val="decimal"/>
      <w:isLgl/>
      <w:lvlText w:val="%1. "/>
      <w:lvlJc w:val="left"/>
      <w:pPr>
        <w:tabs>
          <w:tab w:val="left" w:pos="1282"/>
        </w:tabs>
        <w:ind w:left="1282" w:hanging="432"/>
      </w:pPr>
      <w:rPr>
        <w:rFonts w:hint="default"/>
      </w:rPr>
    </w:lvl>
    <w:lvl w:ilvl="1" w:tentative="0">
      <w:start w:val="1"/>
      <w:numFmt w:val="decimal"/>
      <w:lvlText w:val="%1.%2"/>
      <w:lvlJc w:val="left"/>
      <w:pPr>
        <w:tabs>
          <w:tab w:val="left" w:pos="1002"/>
        </w:tabs>
        <w:ind w:left="1002" w:hanging="576"/>
      </w:pPr>
      <w:rPr>
        <w:rFonts w:hint="default"/>
        <w:lang w:val="de-DE"/>
      </w:rPr>
    </w:lvl>
    <w:lvl w:ilvl="2" w:tentative="0">
      <w:start w:val="1"/>
      <w:numFmt w:val="decimal"/>
      <w:lvlText w:val="%1.%2.%3"/>
      <w:lvlJc w:val="left"/>
      <w:pPr>
        <w:tabs>
          <w:tab w:val="left" w:pos="1570"/>
        </w:tabs>
        <w:ind w:left="1570" w:hanging="720"/>
      </w:pPr>
      <w:rPr>
        <w:rFonts w:hint="default"/>
      </w:rPr>
    </w:lvl>
    <w:lvl w:ilvl="3" w:tentative="0">
      <w:start w:val="1"/>
      <w:numFmt w:val="decimal"/>
      <w:lvlText w:val="%1.%2.%3.%4"/>
      <w:lvlJc w:val="left"/>
      <w:pPr>
        <w:tabs>
          <w:tab w:val="left" w:pos="1714"/>
        </w:tabs>
        <w:ind w:left="1714" w:hanging="864"/>
      </w:pPr>
      <w:rPr>
        <w:rFonts w:hint="default"/>
      </w:rPr>
    </w:lvl>
    <w:lvl w:ilvl="4" w:tentative="0">
      <w:start w:val="1"/>
      <w:numFmt w:val="decimal"/>
      <w:lvlText w:val="%1.%2.%3.%4.%5"/>
      <w:lvlJc w:val="left"/>
      <w:pPr>
        <w:tabs>
          <w:tab w:val="left" w:pos="1858"/>
        </w:tabs>
        <w:ind w:left="1858" w:hanging="1008"/>
      </w:pPr>
      <w:rPr>
        <w:rFonts w:hint="default"/>
      </w:rPr>
    </w:lvl>
    <w:lvl w:ilvl="5" w:tentative="0">
      <w:start w:val="1"/>
      <w:numFmt w:val="decimal"/>
      <w:pStyle w:val="5"/>
      <w:lvlText w:val="%1.%2.%3.%4.%5.%6"/>
      <w:lvlJc w:val="left"/>
      <w:pPr>
        <w:tabs>
          <w:tab w:val="left" w:pos="1578"/>
        </w:tabs>
        <w:ind w:left="1578" w:hanging="1152"/>
      </w:pPr>
      <w:rPr>
        <w:rFonts w:hint="default"/>
      </w:rPr>
    </w:lvl>
    <w:lvl w:ilvl="6" w:tentative="0">
      <w:start w:val="1"/>
      <w:numFmt w:val="decimal"/>
      <w:lvlText w:val="%1.%2.%3.%4.%5.%6.%7"/>
      <w:lvlJc w:val="left"/>
      <w:pPr>
        <w:tabs>
          <w:tab w:val="left" w:pos="2146"/>
        </w:tabs>
        <w:ind w:left="2146" w:hanging="1296"/>
      </w:pPr>
      <w:rPr>
        <w:rFonts w:hint="default"/>
      </w:rPr>
    </w:lvl>
    <w:lvl w:ilvl="7" w:tentative="0">
      <w:start w:val="1"/>
      <w:numFmt w:val="decimal"/>
      <w:lvlText w:val="%1.%2.%3.%4.%5.%6.%7.%8"/>
      <w:lvlJc w:val="left"/>
      <w:pPr>
        <w:tabs>
          <w:tab w:val="left" w:pos="2290"/>
        </w:tabs>
        <w:ind w:left="2290" w:hanging="1440"/>
      </w:pPr>
      <w:rPr>
        <w:rFonts w:hint="default"/>
      </w:rPr>
    </w:lvl>
    <w:lvl w:ilvl="8" w:tentative="0">
      <w:start w:val="1"/>
      <w:numFmt w:val="decimal"/>
      <w:lvlText w:val="%1.%2.%3.%4.%5.%6.%7.%8.%9"/>
      <w:lvlJc w:val="left"/>
      <w:pPr>
        <w:tabs>
          <w:tab w:val="left" w:pos="2434"/>
        </w:tabs>
        <w:ind w:left="2434" w:hanging="1584"/>
      </w:pPr>
      <w:rPr>
        <w:rFonts w:hint="default"/>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2"/>
  </w:compat>
  <w:rsids>
    <w:rsidRoot w:val="00FC5080"/>
    <w:rsid w:val="00006C9D"/>
    <w:rsid w:val="0001241B"/>
    <w:rsid w:val="00022813"/>
    <w:rsid w:val="000236BB"/>
    <w:rsid w:val="00024725"/>
    <w:rsid w:val="00024AF3"/>
    <w:rsid w:val="00027A13"/>
    <w:rsid w:val="00031F05"/>
    <w:rsid w:val="00032466"/>
    <w:rsid w:val="00040466"/>
    <w:rsid w:val="000424C2"/>
    <w:rsid w:val="0004487C"/>
    <w:rsid w:val="00045220"/>
    <w:rsid w:val="00051C8D"/>
    <w:rsid w:val="00060854"/>
    <w:rsid w:val="000612BD"/>
    <w:rsid w:val="00063F75"/>
    <w:rsid w:val="0007085E"/>
    <w:rsid w:val="00071C83"/>
    <w:rsid w:val="00080A65"/>
    <w:rsid w:val="00083042"/>
    <w:rsid w:val="00085990"/>
    <w:rsid w:val="0008635A"/>
    <w:rsid w:val="00086B7F"/>
    <w:rsid w:val="000879BA"/>
    <w:rsid w:val="00092522"/>
    <w:rsid w:val="000967FE"/>
    <w:rsid w:val="000A3FAA"/>
    <w:rsid w:val="000A4EEF"/>
    <w:rsid w:val="000B0D05"/>
    <w:rsid w:val="000B5C97"/>
    <w:rsid w:val="000B63C1"/>
    <w:rsid w:val="000B66A9"/>
    <w:rsid w:val="000B6A70"/>
    <w:rsid w:val="000B7B0C"/>
    <w:rsid w:val="000B7BEB"/>
    <w:rsid w:val="000C1923"/>
    <w:rsid w:val="000C3710"/>
    <w:rsid w:val="000C5D31"/>
    <w:rsid w:val="000D0547"/>
    <w:rsid w:val="000D2D59"/>
    <w:rsid w:val="000E30D3"/>
    <w:rsid w:val="000E4303"/>
    <w:rsid w:val="000E5164"/>
    <w:rsid w:val="000E7FE2"/>
    <w:rsid w:val="000F3338"/>
    <w:rsid w:val="000F56DE"/>
    <w:rsid w:val="00103E94"/>
    <w:rsid w:val="0010542F"/>
    <w:rsid w:val="00106633"/>
    <w:rsid w:val="0011044B"/>
    <w:rsid w:val="001114D1"/>
    <w:rsid w:val="00111AB2"/>
    <w:rsid w:val="00112092"/>
    <w:rsid w:val="00113F57"/>
    <w:rsid w:val="00114EE1"/>
    <w:rsid w:val="0011663A"/>
    <w:rsid w:val="001200EA"/>
    <w:rsid w:val="00130B80"/>
    <w:rsid w:val="00132EA7"/>
    <w:rsid w:val="001357A5"/>
    <w:rsid w:val="00140973"/>
    <w:rsid w:val="001432C9"/>
    <w:rsid w:val="00143BDE"/>
    <w:rsid w:val="00146AF2"/>
    <w:rsid w:val="00147F27"/>
    <w:rsid w:val="00153615"/>
    <w:rsid w:val="0015478D"/>
    <w:rsid w:val="001564DB"/>
    <w:rsid w:val="001600A9"/>
    <w:rsid w:val="00164D75"/>
    <w:rsid w:val="00174DDF"/>
    <w:rsid w:val="00181412"/>
    <w:rsid w:val="00181F3E"/>
    <w:rsid w:val="00183F33"/>
    <w:rsid w:val="00186CB6"/>
    <w:rsid w:val="00187CBE"/>
    <w:rsid w:val="00190A92"/>
    <w:rsid w:val="00191A48"/>
    <w:rsid w:val="00193BED"/>
    <w:rsid w:val="00197187"/>
    <w:rsid w:val="001A5835"/>
    <w:rsid w:val="001C051B"/>
    <w:rsid w:val="001C0D81"/>
    <w:rsid w:val="001C13D3"/>
    <w:rsid w:val="001C4ADF"/>
    <w:rsid w:val="001C652B"/>
    <w:rsid w:val="001D2D68"/>
    <w:rsid w:val="001D31DE"/>
    <w:rsid w:val="001D462E"/>
    <w:rsid w:val="001D5A53"/>
    <w:rsid w:val="001D6519"/>
    <w:rsid w:val="001E28E0"/>
    <w:rsid w:val="001E742C"/>
    <w:rsid w:val="001F2067"/>
    <w:rsid w:val="001F7EDF"/>
    <w:rsid w:val="0020044E"/>
    <w:rsid w:val="00200677"/>
    <w:rsid w:val="0020212D"/>
    <w:rsid w:val="00203578"/>
    <w:rsid w:val="00205C9D"/>
    <w:rsid w:val="00205E61"/>
    <w:rsid w:val="002067CC"/>
    <w:rsid w:val="002171BC"/>
    <w:rsid w:val="00220C09"/>
    <w:rsid w:val="002242BB"/>
    <w:rsid w:val="00227290"/>
    <w:rsid w:val="0022781B"/>
    <w:rsid w:val="00241349"/>
    <w:rsid w:val="0024171F"/>
    <w:rsid w:val="00241E8F"/>
    <w:rsid w:val="00242CE8"/>
    <w:rsid w:val="00243160"/>
    <w:rsid w:val="0024511D"/>
    <w:rsid w:val="00247540"/>
    <w:rsid w:val="0025088C"/>
    <w:rsid w:val="002513D2"/>
    <w:rsid w:val="00256726"/>
    <w:rsid w:val="00256F8D"/>
    <w:rsid w:val="002576C7"/>
    <w:rsid w:val="00257B7A"/>
    <w:rsid w:val="002600FC"/>
    <w:rsid w:val="002619C7"/>
    <w:rsid w:val="00262663"/>
    <w:rsid w:val="0026282F"/>
    <w:rsid w:val="00262933"/>
    <w:rsid w:val="00264241"/>
    <w:rsid w:val="002672E9"/>
    <w:rsid w:val="002700D6"/>
    <w:rsid w:val="0027023B"/>
    <w:rsid w:val="00270D04"/>
    <w:rsid w:val="00272A1D"/>
    <w:rsid w:val="00273F7A"/>
    <w:rsid w:val="00275C3D"/>
    <w:rsid w:val="00282715"/>
    <w:rsid w:val="00292925"/>
    <w:rsid w:val="002953A8"/>
    <w:rsid w:val="00296437"/>
    <w:rsid w:val="00296EA0"/>
    <w:rsid w:val="002A04EC"/>
    <w:rsid w:val="002A22B9"/>
    <w:rsid w:val="002A2561"/>
    <w:rsid w:val="002A478B"/>
    <w:rsid w:val="002B32E4"/>
    <w:rsid w:val="002B56D4"/>
    <w:rsid w:val="002B79A3"/>
    <w:rsid w:val="002C095B"/>
    <w:rsid w:val="002C2AC4"/>
    <w:rsid w:val="002C65E3"/>
    <w:rsid w:val="002C6800"/>
    <w:rsid w:val="002D177E"/>
    <w:rsid w:val="002D27C1"/>
    <w:rsid w:val="002D2A82"/>
    <w:rsid w:val="002D3DEB"/>
    <w:rsid w:val="002D7F98"/>
    <w:rsid w:val="002E2F30"/>
    <w:rsid w:val="002F2B78"/>
    <w:rsid w:val="003011FA"/>
    <w:rsid w:val="00307214"/>
    <w:rsid w:val="00307448"/>
    <w:rsid w:val="00310F32"/>
    <w:rsid w:val="00311446"/>
    <w:rsid w:val="0031383A"/>
    <w:rsid w:val="00315993"/>
    <w:rsid w:val="003161D5"/>
    <w:rsid w:val="00316E4D"/>
    <w:rsid w:val="00327C95"/>
    <w:rsid w:val="00332756"/>
    <w:rsid w:val="00333949"/>
    <w:rsid w:val="0034315D"/>
    <w:rsid w:val="003459EB"/>
    <w:rsid w:val="003502A0"/>
    <w:rsid w:val="003515DD"/>
    <w:rsid w:val="00356A05"/>
    <w:rsid w:val="003572BE"/>
    <w:rsid w:val="00363BA8"/>
    <w:rsid w:val="003666ED"/>
    <w:rsid w:val="00373FF7"/>
    <w:rsid w:val="0037569E"/>
    <w:rsid w:val="00381645"/>
    <w:rsid w:val="003822BE"/>
    <w:rsid w:val="00382900"/>
    <w:rsid w:val="00383E1B"/>
    <w:rsid w:val="003874C1"/>
    <w:rsid w:val="00390ED9"/>
    <w:rsid w:val="00391C4F"/>
    <w:rsid w:val="00392176"/>
    <w:rsid w:val="0039306E"/>
    <w:rsid w:val="00393C60"/>
    <w:rsid w:val="00394430"/>
    <w:rsid w:val="00394B1B"/>
    <w:rsid w:val="00396BAF"/>
    <w:rsid w:val="003972F1"/>
    <w:rsid w:val="00397FB4"/>
    <w:rsid w:val="003A3221"/>
    <w:rsid w:val="003A41F5"/>
    <w:rsid w:val="003A59CF"/>
    <w:rsid w:val="003A5E08"/>
    <w:rsid w:val="003B36E8"/>
    <w:rsid w:val="003B44EE"/>
    <w:rsid w:val="003B56FC"/>
    <w:rsid w:val="003B68EC"/>
    <w:rsid w:val="003C0A21"/>
    <w:rsid w:val="003C0BFF"/>
    <w:rsid w:val="003C1DA2"/>
    <w:rsid w:val="003C6D08"/>
    <w:rsid w:val="003C6F45"/>
    <w:rsid w:val="003D223E"/>
    <w:rsid w:val="003E0AAF"/>
    <w:rsid w:val="003E4AC3"/>
    <w:rsid w:val="003E4DD6"/>
    <w:rsid w:val="003F10B8"/>
    <w:rsid w:val="003F311D"/>
    <w:rsid w:val="00403A85"/>
    <w:rsid w:val="0040632F"/>
    <w:rsid w:val="004071D4"/>
    <w:rsid w:val="004127C6"/>
    <w:rsid w:val="0041347B"/>
    <w:rsid w:val="0041500D"/>
    <w:rsid w:val="00417069"/>
    <w:rsid w:val="00417C16"/>
    <w:rsid w:val="0042007A"/>
    <w:rsid w:val="00420CA3"/>
    <w:rsid w:val="004337B2"/>
    <w:rsid w:val="00441DDD"/>
    <w:rsid w:val="004440B2"/>
    <w:rsid w:val="004443A5"/>
    <w:rsid w:val="004445DE"/>
    <w:rsid w:val="00445CB5"/>
    <w:rsid w:val="004468F5"/>
    <w:rsid w:val="00446C44"/>
    <w:rsid w:val="0045321B"/>
    <w:rsid w:val="00454A10"/>
    <w:rsid w:val="00457A81"/>
    <w:rsid w:val="0046051C"/>
    <w:rsid w:val="00460B5D"/>
    <w:rsid w:val="0046700C"/>
    <w:rsid w:val="0047405C"/>
    <w:rsid w:val="00475516"/>
    <w:rsid w:val="00480CE4"/>
    <w:rsid w:val="00484FDE"/>
    <w:rsid w:val="00491DAB"/>
    <w:rsid w:val="00493F1D"/>
    <w:rsid w:val="0049459B"/>
    <w:rsid w:val="004B3828"/>
    <w:rsid w:val="004B714A"/>
    <w:rsid w:val="004C0DC6"/>
    <w:rsid w:val="004C3845"/>
    <w:rsid w:val="004C5DF4"/>
    <w:rsid w:val="004C6BCA"/>
    <w:rsid w:val="004C7A16"/>
    <w:rsid w:val="004E1DE2"/>
    <w:rsid w:val="004E4659"/>
    <w:rsid w:val="004E4B37"/>
    <w:rsid w:val="004E71A4"/>
    <w:rsid w:val="004F336C"/>
    <w:rsid w:val="004F38E1"/>
    <w:rsid w:val="004F4BE0"/>
    <w:rsid w:val="00504C07"/>
    <w:rsid w:val="00504E4E"/>
    <w:rsid w:val="00507543"/>
    <w:rsid w:val="005138CE"/>
    <w:rsid w:val="00513A17"/>
    <w:rsid w:val="0052282C"/>
    <w:rsid w:val="00524100"/>
    <w:rsid w:val="00525494"/>
    <w:rsid w:val="00526E8B"/>
    <w:rsid w:val="00526ED5"/>
    <w:rsid w:val="0053151E"/>
    <w:rsid w:val="00536E1C"/>
    <w:rsid w:val="00544EFB"/>
    <w:rsid w:val="00550345"/>
    <w:rsid w:val="00554383"/>
    <w:rsid w:val="00554C47"/>
    <w:rsid w:val="00555A75"/>
    <w:rsid w:val="00560ECD"/>
    <w:rsid w:val="0056128D"/>
    <w:rsid w:val="0056643D"/>
    <w:rsid w:val="00570D17"/>
    <w:rsid w:val="00575F85"/>
    <w:rsid w:val="00576C63"/>
    <w:rsid w:val="00580B13"/>
    <w:rsid w:val="0059294F"/>
    <w:rsid w:val="00594B07"/>
    <w:rsid w:val="00597507"/>
    <w:rsid w:val="005A1340"/>
    <w:rsid w:val="005A1B9D"/>
    <w:rsid w:val="005A6CFA"/>
    <w:rsid w:val="005B1A4B"/>
    <w:rsid w:val="005B2C00"/>
    <w:rsid w:val="005B441C"/>
    <w:rsid w:val="005B688B"/>
    <w:rsid w:val="005C0E6A"/>
    <w:rsid w:val="005C283D"/>
    <w:rsid w:val="005C5A52"/>
    <w:rsid w:val="005D560F"/>
    <w:rsid w:val="005E1CBC"/>
    <w:rsid w:val="005E4A39"/>
    <w:rsid w:val="005E5371"/>
    <w:rsid w:val="005E566C"/>
    <w:rsid w:val="005E5A54"/>
    <w:rsid w:val="005E6EFC"/>
    <w:rsid w:val="005F0407"/>
    <w:rsid w:val="005F3302"/>
    <w:rsid w:val="005F7BC2"/>
    <w:rsid w:val="005F7EDF"/>
    <w:rsid w:val="0060011F"/>
    <w:rsid w:val="0060073C"/>
    <w:rsid w:val="00602531"/>
    <w:rsid w:val="00602EC8"/>
    <w:rsid w:val="006030D3"/>
    <w:rsid w:val="0060532E"/>
    <w:rsid w:val="006130C3"/>
    <w:rsid w:val="006132D0"/>
    <w:rsid w:val="00613A14"/>
    <w:rsid w:val="00613CF0"/>
    <w:rsid w:val="00616E22"/>
    <w:rsid w:val="00617477"/>
    <w:rsid w:val="00621338"/>
    <w:rsid w:val="0062197B"/>
    <w:rsid w:val="00621F84"/>
    <w:rsid w:val="00621FC0"/>
    <w:rsid w:val="00622572"/>
    <w:rsid w:val="00622B62"/>
    <w:rsid w:val="00627690"/>
    <w:rsid w:val="00631716"/>
    <w:rsid w:val="0063346B"/>
    <w:rsid w:val="00634FC5"/>
    <w:rsid w:val="00642C6C"/>
    <w:rsid w:val="00646DEA"/>
    <w:rsid w:val="00653549"/>
    <w:rsid w:val="0065696F"/>
    <w:rsid w:val="006602E9"/>
    <w:rsid w:val="00674134"/>
    <w:rsid w:val="00690EB3"/>
    <w:rsid w:val="006933A4"/>
    <w:rsid w:val="006A0852"/>
    <w:rsid w:val="006A1A05"/>
    <w:rsid w:val="006C2345"/>
    <w:rsid w:val="006C25BA"/>
    <w:rsid w:val="006C5384"/>
    <w:rsid w:val="006C6009"/>
    <w:rsid w:val="006C6D77"/>
    <w:rsid w:val="006D4212"/>
    <w:rsid w:val="006D773A"/>
    <w:rsid w:val="006E0BE0"/>
    <w:rsid w:val="006E113D"/>
    <w:rsid w:val="006E1D01"/>
    <w:rsid w:val="006E4C50"/>
    <w:rsid w:val="006E55D0"/>
    <w:rsid w:val="006E5762"/>
    <w:rsid w:val="006E6C30"/>
    <w:rsid w:val="006F6D87"/>
    <w:rsid w:val="00706446"/>
    <w:rsid w:val="00720B5E"/>
    <w:rsid w:val="00721F18"/>
    <w:rsid w:val="00722883"/>
    <w:rsid w:val="00722C2F"/>
    <w:rsid w:val="00722CD8"/>
    <w:rsid w:val="007237B5"/>
    <w:rsid w:val="00730532"/>
    <w:rsid w:val="00730EA6"/>
    <w:rsid w:val="0073279F"/>
    <w:rsid w:val="00732E80"/>
    <w:rsid w:val="00735168"/>
    <w:rsid w:val="00737AB8"/>
    <w:rsid w:val="00741C30"/>
    <w:rsid w:val="00745F25"/>
    <w:rsid w:val="00753ECF"/>
    <w:rsid w:val="007617BF"/>
    <w:rsid w:val="00764490"/>
    <w:rsid w:val="007648F5"/>
    <w:rsid w:val="00783ABA"/>
    <w:rsid w:val="007857AB"/>
    <w:rsid w:val="00786A4C"/>
    <w:rsid w:val="0078704D"/>
    <w:rsid w:val="00787522"/>
    <w:rsid w:val="00793B29"/>
    <w:rsid w:val="007A18BD"/>
    <w:rsid w:val="007A3747"/>
    <w:rsid w:val="007A5D5F"/>
    <w:rsid w:val="007A6FAF"/>
    <w:rsid w:val="007B0D5D"/>
    <w:rsid w:val="007B128A"/>
    <w:rsid w:val="007B1F91"/>
    <w:rsid w:val="007B3BE1"/>
    <w:rsid w:val="007B6262"/>
    <w:rsid w:val="007B68B5"/>
    <w:rsid w:val="007B7F91"/>
    <w:rsid w:val="007C02EE"/>
    <w:rsid w:val="007C1505"/>
    <w:rsid w:val="007C2B58"/>
    <w:rsid w:val="007C6855"/>
    <w:rsid w:val="007E4117"/>
    <w:rsid w:val="007E4664"/>
    <w:rsid w:val="007E53BC"/>
    <w:rsid w:val="007E5DBA"/>
    <w:rsid w:val="007E6A5C"/>
    <w:rsid w:val="007E7BB7"/>
    <w:rsid w:val="007F318E"/>
    <w:rsid w:val="007F3D2F"/>
    <w:rsid w:val="0080370F"/>
    <w:rsid w:val="008046F8"/>
    <w:rsid w:val="0081064B"/>
    <w:rsid w:val="00812CCE"/>
    <w:rsid w:val="00813A89"/>
    <w:rsid w:val="00814083"/>
    <w:rsid w:val="0081521B"/>
    <w:rsid w:val="00816F53"/>
    <w:rsid w:val="0081743F"/>
    <w:rsid w:val="0081746F"/>
    <w:rsid w:val="00822BD6"/>
    <w:rsid w:val="008272F3"/>
    <w:rsid w:val="00834794"/>
    <w:rsid w:val="00842051"/>
    <w:rsid w:val="0084706F"/>
    <w:rsid w:val="0085025A"/>
    <w:rsid w:val="00850429"/>
    <w:rsid w:val="0085557A"/>
    <w:rsid w:val="00855999"/>
    <w:rsid w:val="00856F29"/>
    <w:rsid w:val="00857D48"/>
    <w:rsid w:val="008641B9"/>
    <w:rsid w:val="0086796C"/>
    <w:rsid w:val="0087027A"/>
    <w:rsid w:val="008735E7"/>
    <w:rsid w:val="00873A9B"/>
    <w:rsid w:val="00880B00"/>
    <w:rsid w:val="00882565"/>
    <w:rsid w:val="00884D20"/>
    <w:rsid w:val="008910CB"/>
    <w:rsid w:val="00891D41"/>
    <w:rsid w:val="0089289B"/>
    <w:rsid w:val="0089475B"/>
    <w:rsid w:val="008A18B7"/>
    <w:rsid w:val="008A1F65"/>
    <w:rsid w:val="008A2301"/>
    <w:rsid w:val="008A4B56"/>
    <w:rsid w:val="008A6291"/>
    <w:rsid w:val="008B17A6"/>
    <w:rsid w:val="008B55FD"/>
    <w:rsid w:val="008B780C"/>
    <w:rsid w:val="008C0030"/>
    <w:rsid w:val="008C5366"/>
    <w:rsid w:val="008D1E06"/>
    <w:rsid w:val="008D6CA7"/>
    <w:rsid w:val="008E193E"/>
    <w:rsid w:val="008E75A5"/>
    <w:rsid w:val="008F057B"/>
    <w:rsid w:val="008F4AF8"/>
    <w:rsid w:val="008F6171"/>
    <w:rsid w:val="00907D93"/>
    <w:rsid w:val="009144DA"/>
    <w:rsid w:val="0091563A"/>
    <w:rsid w:val="009222C4"/>
    <w:rsid w:val="00923998"/>
    <w:rsid w:val="00925A62"/>
    <w:rsid w:val="00927358"/>
    <w:rsid w:val="009354D5"/>
    <w:rsid w:val="00935A09"/>
    <w:rsid w:val="00935E01"/>
    <w:rsid w:val="00935F38"/>
    <w:rsid w:val="0093781D"/>
    <w:rsid w:val="009423DB"/>
    <w:rsid w:val="00944E2D"/>
    <w:rsid w:val="0094565A"/>
    <w:rsid w:val="00950C81"/>
    <w:rsid w:val="00952ED5"/>
    <w:rsid w:val="00956040"/>
    <w:rsid w:val="009573B0"/>
    <w:rsid w:val="00960FE8"/>
    <w:rsid w:val="00963621"/>
    <w:rsid w:val="009636DC"/>
    <w:rsid w:val="00972C1B"/>
    <w:rsid w:val="00982BE2"/>
    <w:rsid w:val="0098688E"/>
    <w:rsid w:val="009A0592"/>
    <w:rsid w:val="009B1452"/>
    <w:rsid w:val="009B383F"/>
    <w:rsid w:val="009B3887"/>
    <w:rsid w:val="009B3EF8"/>
    <w:rsid w:val="009B6FD2"/>
    <w:rsid w:val="009B7E63"/>
    <w:rsid w:val="009C01D9"/>
    <w:rsid w:val="009C20AF"/>
    <w:rsid w:val="009C5C2F"/>
    <w:rsid w:val="009D5A11"/>
    <w:rsid w:val="009E0C06"/>
    <w:rsid w:val="009E21DD"/>
    <w:rsid w:val="009E6610"/>
    <w:rsid w:val="009F45DE"/>
    <w:rsid w:val="00A02DBD"/>
    <w:rsid w:val="00A059C9"/>
    <w:rsid w:val="00A07F7C"/>
    <w:rsid w:val="00A14023"/>
    <w:rsid w:val="00A160C2"/>
    <w:rsid w:val="00A24427"/>
    <w:rsid w:val="00A355C6"/>
    <w:rsid w:val="00A36874"/>
    <w:rsid w:val="00A3785C"/>
    <w:rsid w:val="00A4255F"/>
    <w:rsid w:val="00A4317D"/>
    <w:rsid w:val="00A5249E"/>
    <w:rsid w:val="00A526D1"/>
    <w:rsid w:val="00A6042E"/>
    <w:rsid w:val="00A610DA"/>
    <w:rsid w:val="00A61F11"/>
    <w:rsid w:val="00A6503C"/>
    <w:rsid w:val="00A7167E"/>
    <w:rsid w:val="00A71CC7"/>
    <w:rsid w:val="00A74048"/>
    <w:rsid w:val="00A77EAF"/>
    <w:rsid w:val="00A803EB"/>
    <w:rsid w:val="00A81DF5"/>
    <w:rsid w:val="00A826C8"/>
    <w:rsid w:val="00A925CF"/>
    <w:rsid w:val="00A97417"/>
    <w:rsid w:val="00AA326A"/>
    <w:rsid w:val="00AA431B"/>
    <w:rsid w:val="00AB3FC5"/>
    <w:rsid w:val="00AB4628"/>
    <w:rsid w:val="00AB723B"/>
    <w:rsid w:val="00AC04D4"/>
    <w:rsid w:val="00AC3CFA"/>
    <w:rsid w:val="00AC407C"/>
    <w:rsid w:val="00AC5A06"/>
    <w:rsid w:val="00AD077E"/>
    <w:rsid w:val="00AD2C06"/>
    <w:rsid w:val="00AD3603"/>
    <w:rsid w:val="00AD3D4A"/>
    <w:rsid w:val="00AD4FB2"/>
    <w:rsid w:val="00AE04F9"/>
    <w:rsid w:val="00AE605C"/>
    <w:rsid w:val="00AF0373"/>
    <w:rsid w:val="00AF07BA"/>
    <w:rsid w:val="00AF24A3"/>
    <w:rsid w:val="00AF4E37"/>
    <w:rsid w:val="00AF6C35"/>
    <w:rsid w:val="00AF75A5"/>
    <w:rsid w:val="00B10464"/>
    <w:rsid w:val="00B11006"/>
    <w:rsid w:val="00B126AC"/>
    <w:rsid w:val="00B1289B"/>
    <w:rsid w:val="00B143EB"/>
    <w:rsid w:val="00B155FA"/>
    <w:rsid w:val="00B173C5"/>
    <w:rsid w:val="00B178AE"/>
    <w:rsid w:val="00B2001D"/>
    <w:rsid w:val="00B20CD6"/>
    <w:rsid w:val="00B3171A"/>
    <w:rsid w:val="00B32967"/>
    <w:rsid w:val="00B32BE2"/>
    <w:rsid w:val="00B42832"/>
    <w:rsid w:val="00B42F72"/>
    <w:rsid w:val="00B4356D"/>
    <w:rsid w:val="00B44358"/>
    <w:rsid w:val="00B44661"/>
    <w:rsid w:val="00B51448"/>
    <w:rsid w:val="00B53309"/>
    <w:rsid w:val="00B57E19"/>
    <w:rsid w:val="00B60407"/>
    <w:rsid w:val="00B62FA7"/>
    <w:rsid w:val="00B6414C"/>
    <w:rsid w:val="00B66529"/>
    <w:rsid w:val="00B6688E"/>
    <w:rsid w:val="00B71EF4"/>
    <w:rsid w:val="00B72279"/>
    <w:rsid w:val="00B77E58"/>
    <w:rsid w:val="00B96DB3"/>
    <w:rsid w:val="00BA139A"/>
    <w:rsid w:val="00BB23A9"/>
    <w:rsid w:val="00BB30AD"/>
    <w:rsid w:val="00BB4679"/>
    <w:rsid w:val="00BC5EC8"/>
    <w:rsid w:val="00BC75FA"/>
    <w:rsid w:val="00BD02A4"/>
    <w:rsid w:val="00BD4395"/>
    <w:rsid w:val="00BE0D5D"/>
    <w:rsid w:val="00BE3DD4"/>
    <w:rsid w:val="00BE58FE"/>
    <w:rsid w:val="00BE6614"/>
    <w:rsid w:val="00BF1FDB"/>
    <w:rsid w:val="00BF4425"/>
    <w:rsid w:val="00BF486B"/>
    <w:rsid w:val="00C021D0"/>
    <w:rsid w:val="00C062C4"/>
    <w:rsid w:val="00C13030"/>
    <w:rsid w:val="00C15991"/>
    <w:rsid w:val="00C16A57"/>
    <w:rsid w:val="00C231F5"/>
    <w:rsid w:val="00C23598"/>
    <w:rsid w:val="00C24E7E"/>
    <w:rsid w:val="00C25B4D"/>
    <w:rsid w:val="00C3144A"/>
    <w:rsid w:val="00C3394C"/>
    <w:rsid w:val="00C33DD4"/>
    <w:rsid w:val="00C34F61"/>
    <w:rsid w:val="00C36584"/>
    <w:rsid w:val="00C406CD"/>
    <w:rsid w:val="00C43B31"/>
    <w:rsid w:val="00C45419"/>
    <w:rsid w:val="00C5212E"/>
    <w:rsid w:val="00C632EE"/>
    <w:rsid w:val="00C64F14"/>
    <w:rsid w:val="00C65463"/>
    <w:rsid w:val="00C7312F"/>
    <w:rsid w:val="00C74D8E"/>
    <w:rsid w:val="00C75ED9"/>
    <w:rsid w:val="00C77174"/>
    <w:rsid w:val="00C82C09"/>
    <w:rsid w:val="00C83A6A"/>
    <w:rsid w:val="00C85F16"/>
    <w:rsid w:val="00C8692C"/>
    <w:rsid w:val="00C877AE"/>
    <w:rsid w:val="00C903D4"/>
    <w:rsid w:val="00C94359"/>
    <w:rsid w:val="00C96430"/>
    <w:rsid w:val="00C967BE"/>
    <w:rsid w:val="00C9750A"/>
    <w:rsid w:val="00CA4CE9"/>
    <w:rsid w:val="00CB307E"/>
    <w:rsid w:val="00CB515B"/>
    <w:rsid w:val="00CB7255"/>
    <w:rsid w:val="00CC1537"/>
    <w:rsid w:val="00CC2143"/>
    <w:rsid w:val="00CC4652"/>
    <w:rsid w:val="00CC526A"/>
    <w:rsid w:val="00CC74EB"/>
    <w:rsid w:val="00CC75E7"/>
    <w:rsid w:val="00CC7A80"/>
    <w:rsid w:val="00CD5A05"/>
    <w:rsid w:val="00CD6150"/>
    <w:rsid w:val="00CD7B07"/>
    <w:rsid w:val="00CE44A1"/>
    <w:rsid w:val="00CF11AD"/>
    <w:rsid w:val="00CF3D16"/>
    <w:rsid w:val="00CF5286"/>
    <w:rsid w:val="00CF6A6A"/>
    <w:rsid w:val="00CF7F36"/>
    <w:rsid w:val="00D0245B"/>
    <w:rsid w:val="00D05014"/>
    <w:rsid w:val="00D0671C"/>
    <w:rsid w:val="00D10E62"/>
    <w:rsid w:val="00D11792"/>
    <w:rsid w:val="00D14117"/>
    <w:rsid w:val="00D14C91"/>
    <w:rsid w:val="00D16369"/>
    <w:rsid w:val="00D16839"/>
    <w:rsid w:val="00D16963"/>
    <w:rsid w:val="00D16968"/>
    <w:rsid w:val="00D17250"/>
    <w:rsid w:val="00D25952"/>
    <w:rsid w:val="00D37A86"/>
    <w:rsid w:val="00D41EED"/>
    <w:rsid w:val="00D43301"/>
    <w:rsid w:val="00D4620C"/>
    <w:rsid w:val="00D479A4"/>
    <w:rsid w:val="00D52D12"/>
    <w:rsid w:val="00D5418B"/>
    <w:rsid w:val="00D54F76"/>
    <w:rsid w:val="00D54FAB"/>
    <w:rsid w:val="00D558DD"/>
    <w:rsid w:val="00D61203"/>
    <w:rsid w:val="00D6552D"/>
    <w:rsid w:val="00D67B0B"/>
    <w:rsid w:val="00D7000A"/>
    <w:rsid w:val="00D704D2"/>
    <w:rsid w:val="00D7223B"/>
    <w:rsid w:val="00D76891"/>
    <w:rsid w:val="00D76919"/>
    <w:rsid w:val="00D84A03"/>
    <w:rsid w:val="00D84D13"/>
    <w:rsid w:val="00D87BFF"/>
    <w:rsid w:val="00D90807"/>
    <w:rsid w:val="00D9094B"/>
    <w:rsid w:val="00D9460B"/>
    <w:rsid w:val="00D967C1"/>
    <w:rsid w:val="00D9721B"/>
    <w:rsid w:val="00DA4774"/>
    <w:rsid w:val="00DA4AA8"/>
    <w:rsid w:val="00DA70EC"/>
    <w:rsid w:val="00DB2E65"/>
    <w:rsid w:val="00DB4EAD"/>
    <w:rsid w:val="00DC2DC9"/>
    <w:rsid w:val="00DC3B84"/>
    <w:rsid w:val="00DC7827"/>
    <w:rsid w:val="00DD28C4"/>
    <w:rsid w:val="00DD2960"/>
    <w:rsid w:val="00DD5EDE"/>
    <w:rsid w:val="00DE6023"/>
    <w:rsid w:val="00DE751C"/>
    <w:rsid w:val="00DE7A28"/>
    <w:rsid w:val="00DF1B47"/>
    <w:rsid w:val="00DF2050"/>
    <w:rsid w:val="00DF3729"/>
    <w:rsid w:val="00DF6D52"/>
    <w:rsid w:val="00E04D7F"/>
    <w:rsid w:val="00E05742"/>
    <w:rsid w:val="00E0586B"/>
    <w:rsid w:val="00E16450"/>
    <w:rsid w:val="00E2032D"/>
    <w:rsid w:val="00E20B41"/>
    <w:rsid w:val="00E2137D"/>
    <w:rsid w:val="00E21B24"/>
    <w:rsid w:val="00E21F72"/>
    <w:rsid w:val="00E23388"/>
    <w:rsid w:val="00E2605F"/>
    <w:rsid w:val="00E27DF8"/>
    <w:rsid w:val="00E340F4"/>
    <w:rsid w:val="00E3586E"/>
    <w:rsid w:val="00E35E60"/>
    <w:rsid w:val="00E410A9"/>
    <w:rsid w:val="00E4161C"/>
    <w:rsid w:val="00E444D9"/>
    <w:rsid w:val="00E54E47"/>
    <w:rsid w:val="00E61959"/>
    <w:rsid w:val="00E64F11"/>
    <w:rsid w:val="00E7391D"/>
    <w:rsid w:val="00E74BED"/>
    <w:rsid w:val="00E852EC"/>
    <w:rsid w:val="00E85902"/>
    <w:rsid w:val="00E86884"/>
    <w:rsid w:val="00E87BBD"/>
    <w:rsid w:val="00E918B2"/>
    <w:rsid w:val="00E94F7B"/>
    <w:rsid w:val="00EA3F18"/>
    <w:rsid w:val="00EA4816"/>
    <w:rsid w:val="00EA698B"/>
    <w:rsid w:val="00EB1384"/>
    <w:rsid w:val="00EB1E37"/>
    <w:rsid w:val="00EB25CD"/>
    <w:rsid w:val="00EB39D8"/>
    <w:rsid w:val="00EC0B03"/>
    <w:rsid w:val="00EC3034"/>
    <w:rsid w:val="00EC5B56"/>
    <w:rsid w:val="00ED4223"/>
    <w:rsid w:val="00ED5C62"/>
    <w:rsid w:val="00ED6939"/>
    <w:rsid w:val="00EE1910"/>
    <w:rsid w:val="00EE26A4"/>
    <w:rsid w:val="00EE2A12"/>
    <w:rsid w:val="00EE2A13"/>
    <w:rsid w:val="00EE4D1D"/>
    <w:rsid w:val="00F0088A"/>
    <w:rsid w:val="00F031AA"/>
    <w:rsid w:val="00F03F99"/>
    <w:rsid w:val="00F0697D"/>
    <w:rsid w:val="00F128EA"/>
    <w:rsid w:val="00F15358"/>
    <w:rsid w:val="00F1790D"/>
    <w:rsid w:val="00F17B05"/>
    <w:rsid w:val="00F21326"/>
    <w:rsid w:val="00F22134"/>
    <w:rsid w:val="00F24654"/>
    <w:rsid w:val="00F30AC4"/>
    <w:rsid w:val="00F3134F"/>
    <w:rsid w:val="00F406D8"/>
    <w:rsid w:val="00F4121E"/>
    <w:rsid w:val="00F42EE1"/>
    <w:rsid w:val="00F43622"/>
    <w:rsid w:val="00F465FF"/>
    <w:rsid w:val="00F50F21"/>
    <w:rsid w:val="00F51796"/>
    <w:rsid w:val="00F52FB8"/>
    <w:rsid w:val="00F542B7"/>
    <w:rsid w:val="00F55A25"/>
    <w:rsid w:val="00F62A3C"/>
    <w:rsid w:val="00F65EDD"/>
    <w:rsid w:val="00F6663B"/>
    <w:rsid w:val="00F6668E"/>
    <w:rsid w:val="00F7224A"/>
    <w:rsid w:val="00F93303"/>
    <w:rsid w:val="00FA1E6E"/>
    <w:rsid w:val="00FA32C0"/>
    <w:rsid w:val="00FA4582"/>
    <w:rsid w:val="00FA4D01"/>
    <w:rsid w:val="00FB1D01"/>
    <w:rsid w:val="00FC0C9C"/>
    <w:rsid w:val="00FC1D0D"/>
    <w:rsid w:val="00FC2C6D"/>
    <w:rsid w:val="00FC35DD"/>
    <w:rsid w:val="00FC403B"/>
    <w:rsid w:val="00FC5080"/>
    <w:rsid w:val="00FC58C8"/>
    <w:rsid w:val="00FC5D86"/>
    <w:rsid w:val="00FC6A6C"/>
    <w:rsid w:val="00FD3A7C"/>
    <w:rsid w:val="00FD4DE9"/>
    <w:rsid w:val="00FD675F"/>
    <w:rsid w:val="00FD6856"/>
    <w:rsid w:val="00FE2485"/>
    <w:rsid w:val="00FE3A22"/>
    <w:rsid w:val="00FE3A70"/>
    <w:rsid w:val="00FF5BAA"/>
    <w:rsid w:val="1C625C9F"/>
    <w:rsid w:val="23D57706"/>
    <w:rsid w:val="2EE13E60"/>
    <w:rsid w:val="2EF6291B"/>
    <w:rsid w:val="391A1F91"/>
    <w:rsid w:val="401D7964"/>
    <w:rsid w:val="428965BD"/>
    <w:rsid w:val="48320A1D"/>
    <w:rsid w:val="4EDB7826"/>
    <w:rsid w:val="522357EE"/>
    <w:rsid w:val="57804459"/>
    <w:rsid w:val="77617AE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Theme="minorHAnsi" w:cstheme="minorBidi"/>
      <w:sz w:val="24"/>
      <w:szCs w:val="22"/>
      <w:lang w:val="pl-PL" w:eastAsia="en-US" w:bidi="ar-SA"/>
    </w:rPr>
  </w:style>
  <w:style w:type="paragraph" w:styleId="2">
    <w:name w:val="heading 1"/>
    <w:basedOn w:val="1"/>
    <w:next w:val="1"/>
    <w:link w:val="22"/>
    <w:qFormat/>
    <w:uiPriority w:val="9"/>
    <w:pPr>
      <w:keepNext/>
      <w:keepLines/>
      <w:spacing w:before="360" w:after="0" w:line="240" w:lineRule="auto"/>
      <w:outlineLvl w:val="0"/>
    </w:pPr>
    <w:rPr>
      <w:rFonts w:eastAsiaTheme="majorEastAsia" w:cstheme="majorBidi"/>
      <w:b/>
      <w:bCs/>
      <w:sz w:val="28"/>
      <w:szCs w:val="28"/>
    </w:rPr>
  </w:style>
  <w:style w:type="paragraph" w:styleId="3">
    <w:name w:val="heading 2"/>
    <w:basedOn w:val="1"/>
    <w:next w:val="1"/>
    <w:link w:val="23"/>
    <w:unhideWhenUsed/>
    <w:qFormat/>
    <w:uiPriority w:val="9"/>
    <w:pPr>
      <w:keepNext/>
      <w:keepLines/>
      <w:spacing w:before="320" w:after="120" w:line="240" w:lineRule="auto"/>
      <w:outlineLvl w:val="1"/>
    </w:pPr>
    <w:rPr>
      <w:rFonts w:eastAsiaTheme="majorEastAsia" w:cstheme="majorBidi"/>
      <w:b/>
      <w:bCs/>
      <w:szCs w:val="26"/>
    </w:rPr>
  </w:style>
  <w:style w:type="paragraph" w:styleId="4">
    <w:name w:val="heading 3"/>
    <w:basedOn w:val="1"/>
    <w:next w:val="1"/>
    <w:link w:val="24"/>
    <w:unhideWhenUsed/>
    <w:qFormat/>
    <w:uiPriority w:val="9"/>
    <w:pPr>
      <w:keepNext/>
      <w:keepLines/>
      <w:spacing w:before="200" w:after="0" w:line="360" w:lineRule="auto"/>
      <w:outlineLvl w:val="2"/>
    </w:pPr>
    <w:rPr>
      <w:rFonts w:eastAsiaTheme="majorEastAsia" w:cstheme="majorBidi"/>
      <w:b/>
      <w:bCs/>
    </w:rPr>
  </w:style>
  <w:style w:type="paragraph" w:styleId="5">
    <w:name w:val="heading 6"/>
    <w:basedOn w:val="1"/>
    <w:next w:val="1"/>
    <w:qFormat/>
    <w:uiPriority w:val="0"/>
    <w:pPr>
      <w:numPr>
        <w:ilvl w:val="5"/>
        <w:numId w:val="1"/>
      </w:numPr>
      <w:spacing w:before="120"/>
      <w:outlineLvl w:val="5"/>
    </w:pPr>
    <w:rPr>
      <w:b/>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link w:val="26"/>
    <w:qFormat/>
    <w:uiPriority w:val="0"/>
    <w:pPr>
      <w:suppressAutoHyphens/>
      <w:spacing w:after="0" w:line="288" w:lineRule="auto"/>
    </w:pPr>
    <w:rPr>
      <w:rFonts w:eastAsia="Times New Roman" w:cs="Times New Roman"/>
      <w:kern w:val="1"/>
      <w:szCs w:val="24"/>
      <w:lang w:eastAsia="ar-SA"/>
    </w:rPr>
  </w:style>
  <w:style w:type="paragraph" w:styleId="9">
    <w:name w:val="Body Text 2"/>
    <w:basedOn w:val="1"/>
    <w:link w:val="42"/>
    <w:semiHidden/>
    <w:unhideWhenUsed/>
    <w:qFormat/>
    <w:uiPriority w:val="99"/>
    <w:pPr>
      <w:spacing w:after="120" w:line="480" w:lineRule="auto"/>
    </w:pPr>
  </w:style>
  <w:style w:type="paragraph" w:styleId="10">
    <w:name w:val="Body Text First Indent"/>
    <w:basedOn w:val="8"/>
    <w:link w:val="32"/>
    <w:qFormat/>
    <w:uiPriority w:val="0"/>
    <w:pPr>
      <w:ind w:firstLine="283"/>
    </w:pPr>
  </w:style>
  <w:style w:type="paragraph" w:styleId="11">
    <w:name w:val="Body Text Indent"/>
    <w:basedOn w:val="1"/>
    <w:link w:val="31"/>
    <w:qFormat/>
    <w:uiPriority w:val="0"/>
    <w:pPr>
      <w:suppressAutoHyphens/>
      <w:spacing w:after="120" w:line="240" w:lineRule="auto"/>
      <w:ind w:left="283"/>
      <w:jc w:val="left"/>
    </w:pPr>
    <w:rPr>
      <w:rFonts w:eastAsia="Times New Roman" w:cs="Times New Roman"/>
      <w:kern w:val="1"/>
      <w:szCs w:val="24"/>
      <w:lang w:eastAsia="ar-SA"/>
    </w:rPr>
  </w:style>
  <w:style w:type="paragraph" w:styleId="12">
    <w:name w:val="caption"/>
    <w:basedOn w:val="13"/>
    <w:next w:val="13"/>
    <w:qFormat/>
    <w:uiPriority w:val="0"/>
    <w:rPr>
      <w:b/>
      <w:bCs/>
      <w:sz w:val="18"/>
    </w:rPr>
  </w:style>
  <w:style w:type="paragraph" w:customStyle="1" w:styleId="13">
    <w:name w:val="wg Standard"/>
    <w:basedOn w:val="1"/>
    <w:qFormat/>
    <w:uiPriority w:val="0"/>
    <w:pPr>
      <w:spacing w:before="120"/>
    </w:pPr>
    <w:rPr>
      <w:szCs w:val="20"/>
    </w:rPr>
  </w:style>
  <w:style w:type="paragraph" w:styleId="14">
    <w:name w:val="footer"/>
    <w:basedOn w:val="1"/>
    <w:link w:val="39"/>
    <w:unhideWhenUsed/>
    <w:qFormat/>
    <w:uiPriority w:val="99"/>
    <w:pPr>
      <w:tabs>
        <w:tab w:val="center" w:pos="4536"/>
        <w:tab w:val="right" w:pos="9072"/>
      </w:tabs>
      <w:spacing w:after="0" w:line="240" w:lineRule="auto"/>
    </w:pPr>
  </w:style>
  <w:style w:type="paragraph" w:styleId="15">
    <w:name w:val="header"/>
    <w:basedOn w:val="1"/>
    <w:link w:val="38"/>
    <w:semiHidden/>
    <w:unhideWhenUsed/>
    <w:qFormat/>
    <w:uiPriority w:val="99"/>
    <w:pPr>
      <w:tabs>
        <w:tab w:val="center" w:pos="4536"/>
        <w:tab w:val="right" w:pos="9072"/>
      </w:tabs>
      <w:spacing w:after="0" w:line="240" w:lineRule="auto"/>
    </w:pPr>
  </w:style>
  <w:style w:type="paragraph" w:styleId="16">
    <w:name w:val="List"/>
    <w:basedOn w:val="8"/>
    <w:qFormat/>
    <w:uiPriority w:val="0"/>
    <w:rPr>
      <w:rFonts w:cs="Mangal"/>
    </w:rPr>
  </w:style>
  <w:style w:type="paragraph" w:styleId="17">
    <w:name w:val="Normal (Web)"/>
    <w:basedOn w:val="1"/>
    <w:unhideWhenUsed/>
    <w:qFormat/>
    <w:uiPriority w:val="99"/>
    <w:pPr>
      <w:spacing w:before="100" w:beforeAutospacing="1" w:after="100" w:afterAutospacing="1" w:line="240" w:lineRule="auto"/>
      <w:jc w:val="left"/>
    </w:pPr>
    <w:rPr>
      <w:rFonts w:eastAsia="Times New Roman" w:cs="Times New Roman"/>
      <w:szCs w:val="24"/>
      <w:lang w:eastAsia="pl-PL"/>
    </w:rPr>
  </w:style>
  <w:style w:type="character" w:styleId="18">
    <w:name w:val="Strong"/>
    <w:qFormat/>
    <w:uiPriority w:val="22"/>
    <w:rPr>
      <w:b/>
      <w:bCs/>
    </w:rPr>
  </w:style>
  <w:style w:type="paragraph" w:styleId="19">
    <w:name w:val="Subtitle"/>
    <w:basedOn w:val="1"/>
    <w:next w:val="1"/>
    <w:link w:val="37"/>
    <w:qFormat/>
    <w:uiPriority w:val="11"/>
    <w:rPr>
      <w:rFonts w:asciiTheme="majorHAnsi" w:hAnsiTheme="majorHAnsi" w:eastAsiaTheme="majorEastAsia" w:cstheme="majorBidi"/>
      <w:i/>
      <w:iCs/>
      <w:color w:val="4F81BD" w:themeColor="accent1"/>
      <w:spacing w:val="15"/>
      <w:szCs w:val="24"/>
    </w:rPr>
  </w:style>
  <w:style w:type="table" w:styleId="20">
    <w:name w:val="Table Grid"/>
    <w:basedOn w:val="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1">
    <w:name w:val="Title"/>
    <w:basedOn w:val="1"/>
    <w:next w:val="19"/>
    <w:link w:val="29"/>
    <w:qFormat/>
    <w:uiPriority w:val="0"/>
    <w:pPr>
      <w:suppressAutoHyphens/>
      <w:spacing w:before="120" w:after="120" w:line="240" w:lineRule="auto"/>
      <w:jc w:val="left"/>
    </w:pPr>
    <w:rPr>
      <w:rFonts w:eastAsia="Times New Roman" w:cs="Times New Roman"/>
      <w:b/>
      <w:bCs/>
      <w:kern w:val="1"/>
      <w:szCs w:val="20"/>
      <w:lang w:eastAsia="ar-SA"/>
    </w:rPr>
  </w:style>
  <w:style w:type="character" w:customStyle="1" w:styleId="22">
    <w:name w:val="Nagłówek 1 Znak"/>
    <w:basedOn w:val="6"/>
    <w:link w:val="2"/>
    <w:qFormat/>
    <w:uiPriority w:val="9"/>
    <w:rPr>
      <w:rFonts w:ascii="Times New Roman" w:hAnsi="Times New Roman" w:eastAsiaTheme="majorEastAsia" w:cstheme="majorBidi"/>
      <w:b/>
      <w:bCs/>
      <w:sz w:val="28"/>
      <w:szCs w:val="28"/>
    </w:rPr>
  </w:style>
  <w:style w:type="character" w:customStyle="1" w:styleId="23">
    <w:name w:val="Nagłówek 2 Znak"/>
    <w:basedOn w:val="6"/>
    <w:link w:val="3"/>
    <w:qFormat/>
    <w:uiPriority w:val="0"/>
    <w:rPr>
      <w:rFonts w:ascii="Times New Roman" w:hAnsi="Times New Roman" w:eastAsiaTheme="majorEastAsia" w:cstheme="majorBidi"/>
      <w:b/>
      <w:bCs/>
      <w:sz w:val="24"/>
      <w:szCs w:val="26"/>
    </w:rPr>
  </w:style>
  <w:style w:type="character" w:customStyle="1" w:styleId="24">
    <w:name w:val="Nagłówek 3 Znak"/>
    <w:basedOn w:val="6"/>
    <w:link w:val="4"/>
    <w:qFormat/>
    <w:uiPriority w:val="9"/>
    <w:rPr>
      <w:rFonts w:ascii="Times New Roman" w:hAnsi="Times New Roman" w:eastAsiaTheme="majorEastAsia" w:cstheme="majorBidi"/>
      <w:b/>
      <w:bCs/>
      <w:sz w:val="24"/>
    </w:rPr>
  </w:style>
  <w:style w:type="paragraph" w:styleId="25">
    <w:name w:val="List Paragraph"/>
    <w:basedOn w:val="1"/>
    <w:link w:val="45"/>
    <w:qFormat/>
    <w:uiPriority w:val="0"/>
    <w:pPr>
      <w:spacing w:after="0" w:line="259" w:lineRule="auto"/>
      <w:ind w:left="720"/>
      <w:contextualSpacing/>
      <w:jc w:val="left"/>
    </w:pPr>
  </w:style>
  <w:style w:type="character" w:customStyle="1" w:styleId="26">
    <w:name w:val="Tekst podstawowy Znak"/>
    <w:basedOn w:val="6"/>
    <w:link w:val="8"/>
    <w:qFormat/>
    <w:uiPriority w:val="0"/>
    <w:rPr>
      <w:rFonts w:ascii="Times New Roman" w:hAnsi="Times New Roman" w:eastAsia="Times New Roman" w:cs="Times New Roman"/>
      <w:kern w:val="1"/>
      <w:sz w:val="24"/>
      <w:szCs w:val="24"/>
      <w:lang w:eastAsia="ar-SA"/>
    </w:rPr>
  </w:style>
  <w:style w:type="paragraph" w:customStyle="1" w:styleId="27">
    <w:name w:val="Numeracja 1"/>
    <w:basedOn w:val="16"/>
    <w:qFormat/>
    <w:uiPriority w:val="0"/>
    <w:pPr>
      <w:spacing w:after="120"/>
      <w:ind w:left="360" w:hanging="360"/>
    </w:pPr>
  </w:style>
  <w:style w:type="character" w:customStyle="1" w:styleId="28">
    <w:name w:val="Tytuł Znak"/>
    <w:basedOn w:val="6"/>
    <w:link w:val="2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9">
    <w:name w:val="Tytuł Znak1"/>
    <w:basedOn w:val="6"/>
    <w:link w:val="21"/>
    <w:qFormat/>
    <w:uiPriority w:val="0"/>
    <w:rPr>
      <w:rFonts w:ascii="Times New Roman" w:hAnsi="Times New Roman" w:eastAsia="Times New Roman" w:cs="Times New Roman"/>
      <w:b/>
      <w:bCs/>
      <w:kern w:val="1"/>
      <w:sz w:val="24"/>
      <w:szCs w:val="20"/>
      <w:lang w:eastAsia="ar-SA"/>
    </w:rPr>
  </w:style>
  <w:style w:type="character" w:customStyle="1" w:styleId="30">
    <w:name w:val="Tekst podstawowy wcięty Znak"/>
    <w:basedOn w:val="6"/>
    <w:link w:val="11"/>
    <w:semiHidden/>
    <w:qFormat/>
    <w:uiPriority w:val="99"/>
    <w:rPr>
      <w:rFonts w:ascii="Times New Roman" w:hAnsi="Times New Roman"/>
      <w:sz w:val="24"/>
    </w:rPr>
  </w:style>
  <w:style w:type="character" w:customStyle="1" w:styleId="31">
    <w:name w:val="Tekst podstawowy wcięty Znak1"/>
    <w:basedOn w:val="6"/>
    <w:link w:val="11"/>
    <w:qFormat/>
    <w:uiPriority w:val="0"/>
    <w:rPr>
      <w:rFonts w:ascii="Times New Roman" w:hAnsi="Times New Roman" w:eastAsia="Times New Roman" w:cs="Times New Roman"/>
      <w:kern w:val="1"/>
      <w:sz w:val="24"/>
      <w:szCs w:val="24"/>
      <w:lang w:eastAsia="ar-SA"/>
    </w:rPr>
  </w:style>
  <w:style w:type="character" w:customStyle="1" w:styleId="32">
    <w:name w:val="Tekst podstawowy z wcięciem Znak"/>
    <w:basedOn w:val="26"/>
    <w:link w:val="10"/>
    <w:qFormat/>
    <w:uiPriority w:val="0"/>
  </w:style>
  <w:style w:type="paragraph" w:customStyle="1" w:styleId="33">
    <w:name w:val="Lista 1"/>
    <w:basedOn w:val="16"/>
    <w:qFormat/>
    <w:uiPriority w:val="0"/>
    <w:pPr>
      <w:spacing w:after="120"/>
      <w:ind w:left="360" w:hanging="360"/>
    </w:pPr>
  </w:style>
  <w:style w:type="paragraph" w:customStyle="1" w:styleId="34">
    <w:name w:val="Wysunięcie tekstu"/>
    <w:basedOn w:val="8"/>
    <w:qFormat/>
    <w:uiPriority w:val="0"/>
    <w:pPr>
      <w:tabs>
        <w:tab w:val="left" w:pos="0"/>
      </w:tabs>
      <w:ind w:left="567" w:hanging="283"/>
    </w:pPr>
  </w:style>
  <w:style w:type="paragraph" w:customStyle="1" w:styleId="35">
    <w:name w:val="Standard"/>
    <w:qFormat/>
    <w:uiPriority w:val="0"/>
    <w:pPr>
      <w:widowControl w:val="0"/>
      <w:suppressAutoHyphens/>
      <w:autoSpaceDN w:val="0"/>
      <w:spacing w:after="0" w:line="240" w:lineRule="auto"/>
      <w:textAlignment w:val="baseline"/>
    </w:pPr>
    <w:rPr>
      <w:rFonts w:ascii="Times New Roman" w:hAnsi="Times New Roman" w:eastAsia="SimSun" w:cs="Mangal"/>
      <w:kern w:val="3"/>
      <w:sz w:val="24"/>
      <w:szCs w:val="24"/>
      <w:lang w:val="pl-PL" w:eastAsia="zh-CN" w:bidi="hi-IN"/>
    </w:rPr>
  </w:style>
  <w:style w:type="paragraph" w:customStyle="1" w:styleId="36">
    <w:name w:val="Styl Wyjustowany"/>
    <w:basedOn w:val="1"/>
    <w:qFormat/>
    <w:uiPriority w:val="0"/>
    <w:pPr>
      <w:spacing w:after="0" w:line="360" w:lineRule="auto"/>
    </w:pPr>
    <w:rPr>
      <w:rFonts w:eastAsia="Times New Roman" w:cs="Times New Roman"/>
      <w:szCs w:val="20"/>
      <w:lang w:eastAsia="pl-PL"/>
    </w:rPr>
  </w:style>
  <w:style w:type="character" w:customStyle="1" w:styleId="37">
    <w:name w:val="Podtytuł Znak"/>
    <w:basedOn w:val="6"/>
    <w:link w:val="19"/>
    <w:qFormat/>
    <w:uiPriority w:val="11"/>
    <w:rPr>
      <w:rFonts w:asciiTheme="majorHAnsi" w:hAnsiTheme="majorHAnsi" w:eastAsiaTheme="majorEastAsia" w:cstheme="majorBidi"/>
      <w:i/>
      <w:iCs/>
      <w:color w:val="4F81BD" w:themeColor="accent1"/>
      <w:spacing w:val="15"/>
      <w:sz w:val="24"/>
      <w:szCs w:val="24"/>
    </w:rPr>
  </w:style>
  <w:style w:type="character" w:customStyle="1" w:styleId="38">
    <w:name w:val="Nagłówek Znak"/>
    <w:basedOn w:val="6"/>
    <w:link w:val="15"/>
    <w:semiHidden/>
    <w:qFormat/>
    <w:uiPriority w:val="99"/>
    <w:rPr>
      <w:rFonts w:ascii="Times New Roman" w:hAnsi="Times New Roman"/>
      <w:sz w:val="24"/>
    </w:rPr>
  </w:style>
  <w:style w:type="character" w:customStyle="1" w:styleId="39">
    <w:name w:val="Stopka Znak"/>
    <w:basedOn w:val="6"/>
    <w:link w:val="14"/>
    <w:qFormat/>
    <w:uiPriority w:val="99"/>
    <w:rPr>
      <w:rFonts w:ascii="Times New Roman" w:hAnsi="Times New Roman"/>
      <w:sz w:val="24"/>
    </w:rPr>
  </w:style>
  <w:style w:type="paragraph" w:styleId="40">
    <w:name w:val="No Spacing"/>
    <w:qFormat/>
    <w:uiPriority w:val="99"/>
    <w:pPr>
      <w:spacing w:after="0" w:line="240" w:lineRule="auto"/>
      <w:jc w:val="both"/>
    </w:pPr>
    <w:rPr>
      <w:rFonts w:ascii="Times New Roman" w:hAnsi="Times New Roman" w:eastAsiaTheme="minorHAnsi" w:cstheme="minorBidi"/>
      <w:sz w:val="24"/>
      <w:szCs w:val="22"/>
      <w:lang w:val="pl-PL" w:eastAsia="en-US" w:bidi="ar-SA"/>
    </w:rPr>
  </w:style>
  <w:style w:type="character" w:customStyle="1" w:styleId="41">
    <w:name w:val="Character Style 1"/>
    <w:qFormat/>
    <w:uiPriority w:val="0"/>
    <w:rPr>
      <w:spacing w:val="11"/>
      <w:szCs w:val="24"/>
    </w:rPr>
  </w:style>
  <w:style w:type="character" w:customStyle="1" w:styleId="42">
    <w:name w:val="Tekst podstawowy 2 Znak"/>
    <w:basedOn w:val="6"/>
    <w:link w:val="9"/>
    <w:semiHidden/>
    <w:qFormat/>
    <w:uiPriority w:val="99"/>
    <w:rPr>
      <w:rFonts w:ascii="Times New Roman" w:hAnsi="Times New Roman"/>
      <w:sz w:val="24"/>
    </w:rPr>
  </w:style>
  <w:style w:type="character" w:customStyle="1" w:styleId="43">
    <w:name w:val="apple-style-span"/>
    <w:basedOn w:val="6"/>
    <w:qFormat/>
    <w:uiPriority w:val="0"/>
  </w:style>
  <w:style w:type="character" w:customStyle="1" w:styleId="44">
    <w:name w:val="apple-converted-space"/>
    <w:basedOn w:val="6"/>
    <w:qFormat/>
    <w:uiPriority w:val="0"/>
  </w:style>
  <w:style w:type="character" w:customStyle="1" w:styleId="45">
    <w:name w:val="Akapit z listą Znak"/>
    <w:link w:val="25"/>
    <w:qFormat/>
    <w:locked/>
    <w:uiPriority w:val="0"/>
    <w:rPr>
      <w:rFonts w:ascii="Times New Roman" w:hAnsi="Times New Roman"/>
      <w:sz w:val="24"/>
    </w:rPr>
  </w:style>
  <w:style w:type="paragraph" w:customStyle="1" w:styleId="46">
    <w:name w:val="Text body"/>
    <w:basedOn w:val="1"/>
    <w:qFormat/>
    <w:uiPriority w:val="0"/>
    <w:pPr>
      <w:suppressAutoHyphens/>
      <w:autoSpaceDN w:val="0"/>
      <w:spacing w:after="0"/>
      <w:textAlignment w:val="baseline"/>
    </w:pPr>
    <w:rPr>
      <w:rFonts w:ascii="Calibri" w:hAnsi="Calibri" w:eastAsia="Calibri" w:cs="Calibri"/>
      <w:kern w:val="3"/>
      <w:sz w:val="20"/>
      <w:szCs w:val="24"/>
      <w:lang w:eastAsia="zh-CN" w:bidi="hi-IN"/>
    </w:rPr>
  </w:style>
  <w:style w:type="paragraph" w:customStyle="1" w:styleId="47">
    <w:name w:val="wg Überschrift 1"/>
    <w:basedOn w:val="2"/>
    <w:next w:val="13"/>
    <w:qFormat/>
    <w:uiPriority w:val="0"/>
    <w:pPr>
      <w:spacing w:after="240"/>
      <w:jc w:val="left"/>
    </w:pPr>
    <w:rPr>
      <w:kern w:val="0"/>
      <w:szCs w:val="20"/>
    </w:rPr>
  </w:style>
  <w:style w:type="paragraph" w:customStyle="1" w:styleId="48">
    <w:name w:val="wg Überschrift 2"/>
    <w:basedOn w:val="3"/>
    <w:qFormat/>
    <w:uiPriority w:val="0"/>
    <w:pPr>
      <w:tabs>
        <w:tab w:val="left" w:pos="1426"/>
      </w:tabs>
      <w:spacing w:after="120"/>
      <w:jc w:val="left"/>
    </w:pPr>
    <w:rPr>
      <w:szCs w:val="20"/>
    </w:rPr>
  </w:style>
  <w:style w:type="paragraph" w:customStyle="1" w:styleId="49">
    <w:name w:val="Normal 1"/>
    <w:basedOn w:val="1"/>
    <w:qFormat/>
    <w:uiPriority w:val="0"/>
    <w:pPr>
      <w:tabs>
        <w:tab w:val="left" w:pos="360"/>
      </w:tabs>
      <w:spacing w:after="0" w:line="240" w:lineRule="auto"/>
      <w:ind w:left="360" w:hanging="360"/>
      <w:jc w:val="left"/>
    </w:pPr>
    <w:rPr>
      <w:sz w:val="24"/>
      <w:szCs w:val="20"/>
      <w:lang w:val="pl-PL" w:eastAsia="pl-PL"/>
    </w:rPr>
  </w:style>
  <w:style w:type="character" w:customStyle="1" w:styleId="50">
    <w:name w:val="biggertext"/>
    <w:basedOn w:val="6"/>
    <w:qFormat/>
    <w:uiPriority w:val="0"/>
  </w:style>
  <w:style w:type="paragraph" w:customStyle="1" w:styleId="51">
    <w:name w:val="Style7"/>
    <w:basedOn w:val="1"/>
    <w:qFormat/>
    <w:uiPriority w:val="0"/>
    <w:pPr>
      <w:widowControl w:val="0"/>
      <w:snapToGrid w:val="0"/>
      <w:spacing w:after="0" w:line="256" w:lineRule="exact"/>
      <w:jc w:val="left"/>
    </w:pPr>
    <w:rPr>
      <w:rFonts w:ascii="Times New Roman" w:hAnsi="Times New Roman"/>
      <w:sz w:val="24"/>
      <w:szCs w:val="20"/>
      <w:lang w:val="pl-PL" w:eastAsia="pl-PL"/>
    </w:rPr>
  </w:style>
  <w:style w:type="character" w:customStyle="1" w:styleId="52">
    <w:name w:val="Font Style22"/>
    <w:qFormat/>
    <w:uiPriority w:val="0"/>
    <w:rPr>
      <w:rFonts w:hint="default" w:ascii="Times New Roman" w:hAnsi="Times New Roman" w:cs="Times New Roman"/>
      <w:sz w:val="22"/>
    </w:rPr>
  </w:style>
  <w:style w:type="paragraph" w:customStyle="1" w:styleId="53">
    <w:name w:val="Tekst treści"/>
    <w:basedOn w:val="1"/>
    <w:link w:val="54"/>
    <w:qFormat/>
    <w:uiPriority w:val="99"/>
    <w:pPr>
      <w:widowControl w:val="0"/>
      <w:shd w:val="clear" w:color="auto" w:fill="FFFFFF"/>
      <w:spacing w:after="300" w:line="346" w:lineRule="exact"/>
      <w:ind w:hanging="360"/>
    </w:pPr>
    <w:rPr>
      <w:rFonts w:cs="Arial" w:eastAsiaTheme="minorHAnsi"/>
      <w:sz w:val="18"/>
      <w:szCs w:val="18"/>
      <w:lang w:val="pl-PL" w:eastAsia="en-US"/>
    </w:rPr>
  </w:style>
  <w:style w:type="character" w:customStyle="1" w:styleId="54">
    <w:name w:val="Tekst treści_"/>
    <w:link w:val="53"/>
    <w:qFormat/>
    <w:uiPriority w:val="99"/>
    <w:rPr>
      <w:rFonts w:cs="Arial" w:eastAsiaTheme="minorHAnsi"/>
      <w:sz w:val="18"/>
      <w:szCs w:val="18"/>
      <w:lang w:val="pl-PL" w:eastAsia="en-US"/>
    </w:rPr>
  </w:style>
  <w:style w:type="paragraph" w:customStyle="1" w:styleId="55">
    <w:name w:val="WW-Tekst podstawowy wcięty 3"/>
    <w:basedOn w:val="1"/>
    <w:qFormat/>
    <w:uiPriority w:val="0"/>
    <w:pPr>
      <w:suppressAutoHyphens/>
      <w:spacing w:after="0" w:line="240" w:lineRule="auto"/>
      <w:ind w:firstLine="540"/>
    </w:pPr>
    <w:rPr>
      <w:rFonts w:ascii="Times New Roman" w:hAnsi="Times New Roman"/>
      <w:sz w:val="20"/>
      <w:szCs w:val="24"/>
      <w:lang w:val="pl-PL" w:eastAsia="ar-SA"/>
    </w:rPr>
  </w:style>
  <w:style w:type="paragraph" w:customStyle="1" w:styleId="56">
    <w:name w:val="Style6"/>
    <w:basedOn w:val="1"/>
    <w:qFormat/>
    <w:uiPriority w:val="0"/>
    <w:pPr>
      <w:widowControl w:val="0"/>
      <w:snapToGrid w:val="0"/>
      <w:spacing w:after="0" w:line="240" w:lineRule="auto"/>
      <w:jc w:val="left"/>
    </w:pPr>
    <w:rPr>
      <w:rFonts w:ascii="Times New Roman" w:hAnsi="Times New Roman"/>
      <w:sz w:val="24"/>
      <w:szCs w:val="20"/>
      <w:lang w:val="pl-PL" w:eastAsia="pl-PL"/>
    </w:rPr>
  </w:style>
  <w:style w:type="paragraph" w:customStyle="1" w:styleId="57">
    <w:name w:val="Style4"/>
    <w:basedOn w:val="1"/>
    <w:qFormat/>
    <w:uiPriority w:val="0"/>
    <w:pPr>
      <w:widowControl w:val="0"/>
      <w:snapToGrid w:val="0"/>
      <w:spacing w:after="0" w:line="259" w:lineRule="exact"/>
      <w:ind w:hanging="350"/>
      <w:jc w:val="left"/>
    </w:pPr>
    <w:rPr>
      <w:rFonts w:ascii="Times New Roman" w:hAnsi="Times New Roman"/>
      <w:sz w:val="24"/>
      <w:szCs w:val="20"/>
      <w:lang w:val="pl-PL" w:eastAsia="pl-PL"/>
    </w:rPr>
  </w:style>
  <w:style w:type="paragraph" w:customStyle="1" w:styleId="58">
    <w:name w:val="F11 - zutreffend"/>
    <w:basedOn w:val="1"/>
    <w:qFormat/>
    <w:uiPriority w:val="0"/>
    <w:pPr>
      <w:numPr>
        <w:ilvl w:val="0"/>
        <w:numId w:val="2"/>
      </w:numPr>
      <w:spacing w:before="60" w:after="60" w:line="240" w:lineRule="auto"/>
      <w:jc w:val="left"/>
    </w:pPr>
    <w:rPr>
      <w:sz w:val="20"/>
      <w:szCs w:val="20"/>
      <w:lang w:eastAsia="tr-TR"/>
    </w:rPr>
  </w:style>
  <w:style w:type="character" w:customStyle="1" w:styleId="59">
    <w:name w:val="Font Style21"/>
    <w:qFormat/>
    <w:uiPriority w:val="0"/>
    <w:rPr>
      <w:rFonts w:hint="default" w:ascii="Times New Roman" w:hAnsi="Times New Roman" w:cs="Times New Roman"/>
      <w:b/>
      <w:sz w:val="22"/>
    </w:rPr>
  </w:style>
  <w:style w:type="paragraph" w:customStyle="1" w:styleId="60">
    <w:name w:val="Tekst treści (4)1"/>
    <w:basedOn w:val="1"/>
    <w:link w:val="61"/>
    <w:qFormat/>
    <w:uiPriority w:val="99"/>
    <w:pPr>
      <w:widowControl w:val="0"/>
      <w:shd w:val="clear" w:color="auto" w:fill="FFFFFF"/>
      <w:spacing w:after="0" w:line="346" w:lineRule="exact"/>
      <w:jc w:val="left"/>
    </w:pPr>
    <w:rPr>
      <w:rFonts w:cs="Arial" w:eastAsiaTheme="minorHAnsi"/>
      <w:b/>
      <w:bCs/>
      <w:sz w:val="19"/>
      <w:szCs w:val="19"/>
      <w:lang w:val="pl-PL" w:eastAsia="en-US"/>
    </w:rPr>
  </w:style>
  <w:style w:type="character" w:customStyle="1" w:styleId="61">
    <w:name w:val="Tekst treści (4)_"/>
    <w:link w:val="60"/>
    <w:qFormat/>
    <w:uiPriority w:val="99"/>
    <w:rPr>
      <w:rFonts w:cs="Arial" w:eastAsiaTheme="minorHAnsi"/>
      <w:b/>
      <w:bCs/>
      <w:sz w:val="19"/>
      <w:szCs w:val="19"/>
      <w:lang w:val="pl-PL" w:eastAsia="en-US"/>
    </w:rPr>
  </w:style>
  <w:style w:type="paragraph" w:customStyle="1" w:styleId="62">
    <w:name w:val="Style5"/>
    <w:basedOn w:val="1"/>
    <w:qFormat/>
    <w:uiPriority w:val="0"/>
    <w:pPr>
      <w:widowControl w:val="0"/>
      <w:snapToGrid w:val="0"/>
      <w:spacing w:after="0" w:line="240" w:lineRule="auto"/>
      <w:jc w:val="left"/>
    </w:pPr>
    <w:rPr>
      <w:rFonts w:ascii="Times New Roman" w:hAnsi="Times New Roman"/>
      <w:sz w:val="24"/>
      <w:szCs w:val="20"/>
      <w:lang w:val="pl-PL" w:eastAsia="pl-PL"/>
    </w:rPr>
  </w:style>
  <w:style w:type="paragraph" w:customStyle="1" w:styleId="63">
    <w:name w:val="Style8"/>
    <w:basedOn w:val="1"/>
    <w:qFormat/>
    <w:uiPriority w:val="0"/>
    <w:pPr>
      <w:widowControl w:val="0"/>
      <w:snapToGrid w:val="0"/>
      <w:spacing w:after="0" w:line="240" w:lineRule="auto"/>
      <w:jc w:val="left"/>
    </w:pPr>
    <w:rPr>
      <w:rFonts w:ascii="Times New Roman" w:hAnsi="Times New Roman"/>
      <w:sz w:val="24"/>
      <w:szCs w:val="20"/>
      <w:lang w:val="pl-PL" w:eastAsia="pl-PL"/>
    </w:rPr>
  </w:style>
  <w:style w:type="paragraph" w:customStyle="1" w:styleId="64">
    <w:name w:val="Style10"/>
    <w:basedOn w:val="1"/>
    <w:qFormat/>
    <w:uiPriority w:val="0"/>
    <w:pPr>
      <w:widowControl w:val="0"/>
      <w:snapToGrid w:val="0"/>
      <w:spacing w:after="0" w:line="250" w:lineRule="exact"/>
      <w:jc w:val="left"/>
    </w:pPr>
    <w:rPr>
      <w:rFonts w:ascii="Times New Roman" w:hAnsi="Times New Roman"/>
      <w:sz w:val="24"/>
      <w:szCs w:val="20"/>
      <w:lang w:val="pl-PL" w:eastAsia="pl-PL"/>
    </w:rPr>
  </w:style>
  <w:style w:type="paragraph" w:customStyle="1" w:styleId="65">
    <w:name w:val="Style15"/>
    <w:basedOn w:val="1"/>
    <w:qFormat/>
    <w:uiPriority w:val="0"/>
    <w:pPr>
      <w:widowControl w:val="0"/>
      <w:snapToGrid w:val="0"/>
      <w:spacing w:after="0" w:line="259" w:lineRule="exact"/>
    </w:pPr>
    <w:rPr>
      <w:rFonts w:ascii="Times New Roman" w:hAnsi="Times New Roman"/>
      <w:sz w:val="24"/>
      <w:szCs w:val="20"/>
      <w:lang w:val="pl-PL" w:eastAsia="pl-PL"/>
    </w:rPr>
  </w:style>
  <w:style w:type="paragraph" w:customStyle="1" w:styleId="66">
    <w:name w:val="Style3"/>
    <w:basedOn w:val="1"/>
    <w:qFormat/>
    <w:uiPriority w:val="0"/>
    <w:pPr>
      <w:widowControl w:val="0"/>
      <w:snapToGrid w:val="0"/>
      <w:spacing w:after="0" w:line="240" w:lineRule="auto"/>
      <w:jc w:val="left"/>
    </w:pPr>
    <w:rPr>
      <w:rFonts w:ascii="Times New Roman" w:hAnsi="Times New Roman"/>
      <w:sz w:val="24"/>
      <w:szCs w:val="20"/>
      <w:lang w:val="pl-PL" w:eastAsia="pl-PL"/>
    </w:rPr>
  </w:style>
  <w:style w:type="character" w:customStyle="1" w:styleId="67">
    <w:name w:val="Font Style23"/>
    <w:qFormat/>
    <w:uiPriority w:val="0"/>
    <w:rPr>
      <w:rFonts w:hint="default" w:ascii="Times New Roman" w:hAnsi="Times New Roman" w:cs="Times New Roman"/>
      <w:b/>
      <w:sz w:val="22"/>
    </w:rPr>
  </w:style>
  <w:style w:type="character" w:customStyle="1" w:styleId="68">
    <w:name w:val="Tekst treści (4)"/>
    <w:qFormat/>
    <w:uiPriority w:val="99"/>
    <w:rPr>
      <w:rFonts w:ascii="Arial" w:hAnsi="Arial" w:cs="Arial"/>
      <w:b/>
      <w:bCs/>
      <w:sz w:val="19"/>
      <w:szCs w:val="19"/>
      <w:u w:val="single"/>
      <w:shd w:val="clear" w:color="auto" w:fill="FFFFFF"/>
    </w:rPr>
  </w:style>
  <w:style w:type="paragraph" w:customStyle="1" w:styleId="69">
    <w:name w:val="Tekst treści (3)"/>
    <w:basedOn w:val="1"/>
    <w:link w:val="70"/>
    <w:qFormat/>
    <w:uiPriority w:val="99"/>
    <w:pPr>
      <w:widowControl w:val="0"/>
      <w:shd w:val="clear" w:color="auto" w:fill="FFFFFF"/>
      <w:spacing w:after="0" w:line="413" w:lineRule="exact"/>
      <w:ind w:hanging="340"/>
      <w:jc w:val="left"/>
    </w:pPr>
    <w:rPr>
      <w:rFonts w:cs="Arial" w:eastAsiaTheme="minorHAnsi"/>
      <w:lang w:val="pl-PL" w:eastAsia="en-US"/>
    </w:rPr>
  </w:style>
  <w:style w:type="character" w:customStyle="1" w:styleId="70">
    <w:name w:val="Tekst treści (3)_"/>
    <w:link w:val="69"/>
    <w:qFormat/>
    <w:uiPriority w:val="99"/>
    <w:rPr>
      <w:rFonts w:cs="Arial" w:eastAsiaTheme="minorHAnsi"/>
      <w:lang w:val="pl-PL" w:eastAsia="en-US"/>
    </w:rPr>
  </w:style>
  <w:style w:type="paragraph" w:customStyle="1" w:styleId="71">
    <w:name w:val="Styl"/>
    <w:qFormat/>
    <w:uiPriority w:val="0"/>
    <w:pPr>
      <w:widowControl w:val="0"/>
      <w:autoSpaceDE w:val="0"/>
      <w:autoSpaceDN w:val="0"/>
      <w:adjustRightInd w:val="0"/>
    </w:pPr>
    <w:rPr>
      <w:rFonts w:ascii="Times New Roman" w:hAnsi="Times New Roman" w:eastAsia="Times New Roman" w:cs="Times New Roman"/>
      <w:sz w:val="24"/>
      <w:szCs w:val="24"/>
      <w:lang w:val="pl-PL" w:eastAsia="pl-PL"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4244DC-D51E-483B-9A66-90B6AD2A60B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4665</Words>
  <Characters>27990</Characters>
  <Lines>233</Lines>
  <Paragraphs>65</Paragraphs>
  <TotalTime>1</TotalTime>
  <ScaleCrop>false</ScaleCrop>
  <LinksUpToDate>false</LinksUpToDate>
  <CharactersWithSpaces>32590</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2020-02-10T09:15:00Z</dcterms:created>
  <dc:creator>FIRMA</dc:creator>
  <cp:lastModifiedBy>Marcin Hołówka</cp:lastModifiedBy>
  <cp:lastPrinted>2022-11-14T11:46:00Z</cp:lastPrinted>
  <dcterms:modified xsi:type="dcterms:W3CDTF">2024-03-22T08:29:07Z</dcterms:modified>
  <cp:revision>630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1045-12.2.0.13489</vt:lpwstr>
  </property>
  <property fmtid="{D5CDD505-2E9C-101B-9397-08002B2CF9AE}" pid="3" name="ICV">
    <vt:lpwstr>D7BA2B260A3A482AB9A2926873BBE801_12</vt:lpwstr>
  </property>
</Properties>
</file>